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 w:cs="Arial"/>
          <w:lang w:val="pl-PL"/>
        </w:rPr>
        <w:t>Praca z różnorodnością na Slot Art Festival</w:t>
      </w:r>
    </w:p>
    <w:p>
      <w:pPr>
        <w:pStyle w:val="Subtitle"/>
      </w:pPr>
      <w:r>
        <w:rPr>
          <w:rFonts w:ascii="Arial" w:hAnsi="Arial" w:eastAsia="Arial" w:cs="Arial"/>
          <w:lang w:val="pl-PL"/>
        </w:rPr>
        <w:t>Dokładne opisy wizualne slajdów</w:t>
      </w:r>
    </w:p>
    <w:p>
      <w:r>
        <w:rPr>
          <w:rFonts w:ascii="Arial" w:hAnsi="Arial" w:eastAsia="Arial" w:cs="Arial"/>
          <w:lang w:val="pl-PL"/>
        </w:rPr>
        <w:t>Prowadzenie: Joanna Rzepka</w:t>
      </w:r>
    </w:p>
    <w:p>
      <w:r>
        <w:rPr>
          <w:rFonts w:ascii="Arial" w:hAnsi="Arial" w:eastAsia="Arial" w:cs="Arial"/>
          <w:lang w:val="pl-PL"/>
        </w:rPr>
        <w:t>Czas trwania: 28 minut 22 sekundy</w:t>
      </w:r>
    </w:p>
    <w:p>
      <w:pPr>
        <w:pStyle w:val="Heading1"/>
      </w:pPr>
      <w:r>
        <w:rPr>
          <w:rFonts w:ascii="Arial" w:hAnsi="Arial" w:eastAsia="Arial" w:cs="Arial"/>
          <w:lang w:val="pl-PL"/>
        </w:rPr>
        <w:t>O dokumencie</w:t>
      </w:r>
    </w:p>
    <w:p>
      <w:r>
        <w:rPr>
          <w:rFonts w:ascii="Arial" w:hAnsi="Arial" w:eastAsia="Arial" w:cs="Arial"/>
          <w:lang w:val="pl-PL"/>
        </w:rPr>
        <w:t>Dokument zawiera dokładny opis planszy otwierającej i 23 slajdów prezentacji wyświetlanych podczas webinaru. Uwzględnia układ, tekst, ilustracje, symbole, wykresy i inne informacje widoczne na ekranie. Kończy się slajdem „Dziękuję!”.</w:t>
      </w:r>
    </w:p>
    <w:p>
      <w:r>
        <w:rPr>
          <w:rFonts w:ascii="Arial" w:hAnsi="Arial" w:eastAsia="Arial" w:cs="Arial"/>
          <w:lang w:val="pl-PL"/>
        </w:rPr>
        <w:t>Dokument nie zawiera zapisu wypowiedzi prowadzącej. Może służyć jako uzupełnienie nagrania dla osób, które słuchają webinaru bez dostępu do obrazu lub chcą dokładniej poznać treść prezentacji.</w:t>
      </w:r>
    </w:p>
    <w:p>
      <w:r>
        <w:rPr>
          <w:rFonts w:ascii="Arial" w:hAnsi="Arial" w:eastAsia="Arial" w:cs="Arial"/>
          <w:lang w:val="pl-PL"/>
        </w:rPr>
        <w:t>Dokument może być czytany na ekranie, odsłuchiwany za pomocą syntezy mowy oraz obsługiwany czytnikiem ekranu, na przykład VoiceOver lub NVDA. Po opisach można poruszać się za pomocą nagłówków.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Jak korzystać z dokumentu</w:t>
      </w:r>
    </w:p>
    <w:p>
      <w:r>
        <w:rPr>
          <w:rFonts w:ascii="Arial" w:hAnsi="Arial" w:eastAsia="Arial" w:cs="Arial"/>
          <w:lang w:val="pl-PL"/>
        </w:rPr>
        <w:t>Plansza otwierająca ma osobny nagłówek i nie jest numerowana. Slajdy prezentacji mają numery od 1 do 23, zgodne z kolejnością w prezentacji.</w:t>
      </w:r>
    </w:p>
    <w:p>
      <w:r>
        <w:rPr>
          <w:rFonts w:ascii="Arial" w:hAnsi="Arial" w:eastAsia="Arial" w:cs="Arial"/>
          <w:lang w:val="pl-PL"/>
        </w:rPr>
        <w:t>Pod nagłówkiem znajduje się znacznik czasu wskazujący moment pojawienia się slajdu w nagraniu.</w:t>
      </w:r>
    </w:p>
    <w:p>
      <w:r>
        <w:rPr>
          <w:rFonts w:ascii="Arial" w:hAnsi="Arial" w:eastAsia="Arial" w:cs="Arial"/>
          <w:lang w:val="pl-PL"/>
        </w:rPr>
        <w:t>Opis można przeczytać przed wysłuchaniem danego fragmentu, w czasie przerwy lub po zakończeniu webinaru.</w:t>
      </w:r>
    </w:p>
    <w:p>
      <w:r>
        <w:rPr>
          <w:rFonts w:ascii="Arial" w:hAnsi="Arial" w:eastAsia="Arial" w:cs="Arial"/>
          <w:lang w:val="pl-PL"/>
        </w:rPr>
        <w:t>Dokładniejsze informacje można odnaleźć, przechodząc między nagłówkami slajdów.</w:t>
      </w:r>
    </w:p>
    <w:p>
      <w:r>
        <w:rPr>
          <w:rFonts w:ascii="Arial" w:hAnsi="Arial" w:eastAsia="Arial" w:cs="Arial"/>
          <w:lang w:val="pl-PL"/>
        </w:rPr>
        <w:t>Teksty ze slajdów są przytoczone bez parafrazowania, z zachowaniem ich brzmienia, także ewentualnych usterek językowych. Łamanie wierszy dostosowano do czytania dokumentu.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Opis wizualny całego nagrania</w:t>
      </w:r>
    </w:p>
    <w:p>
      <w:r>
        <w:rPr>
          <w:rFonts w:ascii="Arial" w:hAnsi="Arial" w:eastAsia="Arial" w:cs="Arial"/>
          <w:lang w:val="pl-PL"/>
        </w:rPr>
        <w:t>Nagranie rozpoczyna żółta plansza otwierająca, która wypełnia cały ekran. Widoczne są tytuł, wizerunek prowadzącej oraz oznaczenia organizatora i instytucji finansujących.</w:t>
      </w:r>
    </w:p>
    <w:p>
      <w:r>
        <w:rPr>
          <w:rFonts w:ascii="Arial" w:hAnsi="Arial" w:eastAsia="Arial" w:cs="Arial"/>
          <w:lang w:val="pl-PL"/>
        </w:rPr>
        <w:t>Po planszy otwierającej od razu pojawia się prezentacja z oknem wideo. Prezentacja zajmuje większą część obrazu po lewej, a po prawej znajduje się mniejsze okno z Joanną Rzepką. W tej części na dole obrazu pojawiają się napisy z wypowiedziami prowadzącej.</w:t>
      </w:r>
    </w:p>
    <w:p>
      <w:r>
        <w:rPr>
          <w:rFonts w:ascii="Arial" w:hAnsi="Arial" w:eastAsia="Arial" w:cs="Arial"/>
          <w:lang w:val="pl-PL"/>
        </w:rPr>
        <w:t>Pierwsza plansza ma żółto-czarną kolorystykę. W kolejnych slajdach dominują kolor stalowoniebieski, jasnokremowy i czarny. Kolory są stosowane jako tła slajdów, pól tekstowych i liter.</w:t>
      </w:r>
    </w:p>
    <w:p>
      <w:pPr>
        <w:pStyle w:val="Heading1"/>
      </w:pPr>
      <w:r>
        <w:rPr>
          <w:rFonts w:ascii="Arial" w:hAnsi="Arial" w:eastAsia="Arial" w:cs="Arial"/>
          <w:lang w:val="pl-PL"/>
        </w:rPr>
        <w:t>Plansza otwierająca i slajdy webinaru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Plansza otwierająca webinar „Praca z różnorodnością”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[00:00] Plansza otwierająca</w:t>
      </w:r>
    </w:p>
    <w:p>
      <w:r>
        <w:rPr>
          <w:rFonts w:ascii="Arial" w:hAnsi="Arial" w:eastAsia="Arial" w:cs="Arial"/>
          <w:lang w:val="pl-PL"/>
        </w:rPr>
        <w:t>Plansza ma żółte tło. U góry widnieje napis „SLOT - GENERATOR WSPÓŁPRACY”. Słowo „SLOT” jest zapisane czarnym krojem szeryfowym w prostokątnym polu w ciemniejszym odcieniu żółci. Pozostała część napisu jest czarna, pogrubiona i bezszeryfowa.</w:t>
      </w:r>
    </w:p>
    <w:p>
      <w:r>
        <w:rPr>
          <w:rFonts w:ascii="Arial" w:hAnsi="Arial" w:eastAsia="Arial" w:cs="Arial"/>
          <w:lang w:val="pl-PL"/>
        </w:rPr>
        <w:t>Po lewej znajduje się białe prostokątne pole z tytułem w trzech wersach: „PRACA”, „Z”, „RÓŻNORODNOŚCIĄ”. Po prawej jest duży prostokątny obraz Joanny Rzepki, widocznej od ramion w górę, w okularach i niebieskiej bluzce, na rozmytym tle. Pod nim jest czarny pasek z żółtym podpisem „Prowadząca: Joanna Rzepka”.</w:t>
      </w:r>
    </w:p>
    <w:p>
      <w:r>
        <w:rPr>
          <w:rFonts w:ascii="Arial" w:hAnsi="Arial" w:eastAsia="Arial" w:cs="Arial"/>
          <w:lang w:val="pl-PL"/>
        </w:rPr>
        <w:t>W lewym dolnym rogu znajduje się znak Stowarzyszenia Lokalnych Ośrodków Twórczych SLOT. W prawym dolnym rogu są oznaczenia Ministerstwa Kultury i Dziedzictwa Narodowego, liczba „75” oraz znak Narodowego Centrum Kultury.</w:t>
      </w:r>
    </w:p>
    <w:p>
      <w:r>
        <w:rPr>
          <w:rFonts w:ascii="Arial" w:hAnsi="Arial" w:eastAsia="Arial" w:cs="Arial"/>
          <w:lang w:val="pl-PL"/>
        </w:rPr>
        <w:t>Pod oznaczeniami finansowania zapisano:</w:t>
      </w:r>
    </w:p>
    <w:p>
      <w:r>
        <w:rPr>
          <w:rFonts w:ascii="Arial" w:hAnsi="Arial" w:eastAsia="Arial" w:cs="Arial"/>
          <w:lang w:val="pl-PL"/>
        </w:rPr>
        <w:t>„Dofinansowano ze środków Ministra Kultury i Dziedzictwa Narodowego w ramach programu Narodowego Centrum Kultury Kultura – Interwencje. Edycja 2026”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1. Praca z różnorodnością na Slot Art Festival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[00:05] Zmiana slajdu</w:t>
      </w:r>
    </w:p>
    <w:p>
      <w:pPr/>
      <w:r>
        <w:rPr>
          <w:rFonts w:ascii="Arial" w:hAnsi="Arial" w:eastAsia="Arial" w:cs="Arial"/>
          <w:lang w:val="pl-PL"/>
        </w:rPr>
        <w:t>Slajd ma stalowoniebieskie tło. Po lewej dużymi białymi literami zapisano „Praca z różnorodnością na Slot Art Festival”. Po prawej znajduje się kwadratowe logo festiwalu w odcieniach granatu i fioletu, na tle falujących linii, okręgów i znaków przypominających cele.</w:t>
      </w:r>
    </w:p>
    <w:p>
      <w:pPr/>
      <w:r>
        <w:rPr>
          <w:rFonts w:ascii="Arial" w:hAnsi="Arial" w:eastAsia="Arial" w:cs="Arial"/>
          <w:lang w:val="pl-PL"/>
        </w:rPr>
        <w:t>U dołu po lewej, w białym polu, umieszczono oznaczenia Ministerstwa Kultury i Dziedzictwa Narodowego, liczbę „75”, znak Narodowego Centrum Kultury oraz informację o dofinansowaniu: „Dofinansowano ze środków Ministra Kultury i Dziedzictwa Narodowego w ramach programu Narodowego Centrum Kultury Kultura – Interwencje. Edycja 2026”. W obu dolnych narożnikach znajdują się po trzy krótkie pionowe białe kreski.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2. Joanna Rzepka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[00:14] Zmiana slajdu</w:t>
      </w:r>
    </w:p>
    <w:p>
      <w:pPr/>
      <w:r>
        <w:rPr>
          <w:rFonts w:ascii="Arial" w:hAnsi="Arial" w:eastAsia="Arial" w:cs="Arial"/>
          <w:lang w:val="pl-PL"/>
        </w:rPr>
        <w:t>Slajd jest podzielony pionowo. Po lewej, na jasnokremowym tle, zapisano dużym stalowoniebieskim krojem „Joanna Rzepka”. Pod imieniem i nazwiskiem znajdują się trzy akapity noty biograficznej:</w:t>
      </w:r>
    </w:p>
    <w:p>
      <w:pPr/>
      <w:r>
        <w:rPr>
          <w:rFonts w:ascii="Arial" w:hAnsi="Arial" w:eastAsia="Arial" w:cs="Arial"/>
          <w:lang w:val="pl-PL"/>
        </w:rPr>
        <w:t>„artystka wizualna, kuratorka, edukatorka i organizatorka wydarzeń. Absolwentka Uniwersytetu Artystycznego w Poznaniu, Instytutu Twórczej Fotografii w Opavie oraz studiów podyplomowych z neuroróżnorodności na SWPS.”</w:t>
      </w:r>
    </w:p>
    <w:p>
      <w:pPr/>
      <w:r>
        <w:rPr>
          <w:rFonts w:ascii="Arial" w:hAnsi="Arial" w:eastAsia="Arial" w:cs="Arial"/>
          <w:lang w:val="pl-PL"/>
        </w:rPr>
        <w:t>„Od ponad 20 lat działa na styku sztuki, edukacji i kultury. Obecnie zajmuje się neuroróżnorodnością, dostępnością i tworzeniem bardziej włączających wydarzeń kulturalnych.”</w:t>
      </w:r>
    </w:p>
    <w:p>
      <w:pPr/>
      <w:r>
        <w:rPr>
          <w:rFonts w:ascii="Arial" w:hAnsi="Arial" w:eastAsia="Arial" w:cs="Arial"/>
          <w:lang w:val="pl-PL"/>
        </w:rPr>
        <w:t>„Ze Slotem związana jest od kilkunastu lat, współtworząc festiwal od strony organizacyjnej, edukacyjnej i programowej.”</w:t>
      </w:r>
    </w:p>
    <w:p>
      <w:pPr/>
      <w:r>
        <w:rPr>
          <w:rFonts w:ascii="Arial" w:hAnsi="Arial" w:eastAsia="Arial" w:cs="Arial"/>
          <w:lang w:val="pl-PL"/>
        </w:rPr>
        <w:t>Po prawej widoczna jest fotografia Joanny Rzepki w pomarańczowym garniturze, trzymającej biały model ślimaka przechodzącego przez żyletkę. Dłoń drugiej osoby, znajdującej się poza kadrem, trzyma powyżej oczu prowadzącej czarny grzebień.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3. O czym będziemy rozmawiać: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[00:58]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„O czym będziemy rozmawiać:”. Poniżej w pionowej kolumnie umieszczono pięć jasnych poziomych pól z zaokrąglonymi rogami. Każde pole ma po lewej kółko z numerem i tekst: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Punkt 1: Różnorodność i neuroróżnorodność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Punkt 2: Czy norma istnieje?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Punkt 3: Te same sytuacje, różne reakcje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Punkt 4: Zachowania → Rozwiązania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Punkt 5: Kilka dobrych rad na koniec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4. Różnorodność jest naturalna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[01:39]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„Różnorodność jest naturalna”. Poniżej znajduje się jasne pole z zaokrąglonymi rogami. W polu widnieje zdanie „Różnimy się między innymi:” oraz lista: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wiekiem i doświadczeniem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tożsamością płcią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zdrowiem i sprawnością fizyczną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pochodzeniem i kulturą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sytuacją życiową i materialną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osobowością i temperamentem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sposobem komunikacji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kondycją psychiczną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sposobem odbierania i przetwarzania świata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5. Różnice, których nie widać „na pierwszy rzut oka”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[02:33]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tytuł „Różnice, których nie widać “na pierwszy rzut oka””. Poniżej w dużym jasnym polu znajduje się zdanie: „Wiele różnic może być związane z wychowaniem, kulturą, wcześniejszymi doświadczeniami, sytuacją życiową czy warunkami, w jakich ktoś dorastał.”</w:t>
      </w:r>
    </w:p>
    <w:p>
      <w:pPr/>
      <w:r>
        <w:rPr>
          <w:rFonts w:ascii="Arial" w:hAnsi="Arial" w:eastAsia="Arial" w:cs="Arial"/>
          <w:lang w:val="pl-PL"/>
        </w:rPr>
        <w:t>Niżej w tym samym polu zapisano „Różnorodność może wpływać na:” oraz listę: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sposób komunikacji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ekspresję emocji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kontakt wzrokowy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stosunek do hierarchii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dystans fizyczny i dotyk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proszenie o pomoc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podejście do jedzenia i odpoczynku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poczucie czasu i punktualność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6. Czym jest neuroróżnorodność?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[04:46]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„Czym jest neuroróżnorodność?”. Pod tytułem, w wąskim jasnym polu, widnieje definicja: „Neuroróżnorodność = naturalna różnorodność ludzkich mózgów”.</w:t>
      </w:r>
    </w:p>
    <w:p>
      <w:pPr/>
      <w:r>
        <w:rPr>
          <w:rFonts w:ascii="Arial" w:hAnsi="Arial" w:eastAsia="Arial" w:cs="Arial"/>
          <w:lang w:val="pl-PL"/>
        </w:rPr>
        <w:t>Niżej znajdują się dwa jasne pola obok siebie. W lewym polu zapisano „Neuroróżnorodność obejmuje wszystkich:” i dwa punkty: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osoby neurotypowe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osoby neuroatypowe</w:t>
      </w:r>
    </w:p>
    <w:p>
      <w:pPr/>
      <w:r>
        <w:rPr>
          <w:rFonts w:ascii="Arial" w:hAnsi="Arial" w:eastAsia="Arial" w:cs="Arial"/>
          <w:lang w:val="pl-PL"/>
        </w:rPr>
        <w:t>W prawym polu zapisano „Neuroatypowość czyli:” i listę: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spektrum autyzmu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spektrum ADHD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dysleksja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dyspraksja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zespół Tourette’a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7. Jak neuroatypowość może wpływać na funkcjonowanie?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[05:25]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widnieje tytuł „Jak neuroatypowość może wpływać na funkcjonowanie?”. W jasnym polu pod tytułem zapisano „Może wpływać na:” i dziewięć punktów: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sposób komunikacji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regulację emocji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reakcje na zmiany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koncentrację i organizację pracy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potrzebę odpoczynku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funkcjonowanie w grupie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kontakt wzrokowy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pamiętanie o podstawowych potrzebach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orientację w czasie i przestrzeni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8. Czy norma istnieje?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[07:18] Zmiana slajdu</w:t>
      </w:r>
    </w:p>
    <w:p>
      <w:pPr/>
      <w:r>
        <w:rPr>
          <w:rFonts w:ascii="Arial" w:hAnsi="Arial" w:eastAsia="Arial" w:cs="Arial"/>
          <w:lang w:val="pl-PL"/>
        </w:rPr>
        <w:t>Na jasnokremowym tle u góry widnieje tytuł „Czy norma istnieje?”. W szerokim stalowoniebieskim polu pod nim zapisano: „Norma jest przede wszystkim narzędziem statystycznym. Nie oznacza: lepszy lub gorszy, właściwy lub niewłaściwy, wartościowy lub mniej wartościowy.”</w:t>
      </w:r>
    </w:p>
    <w:p>
      <w:pPr/>
      <w:r>
        <w:rPr>
          <w:rFonts w:ascii="Arial" w:hAnsi="Arial" w:eastAsia="Arial" w:cs="Arial"/>
          <w:lang w:val="pl-PL"/>
        </w:rPr>
        <w:t>Pod tym polem znajduje się wykres krzywej dzwonowej. Fioletowa linia wznosi się od lewej, osiąga najwyższy punkt na środku i opada ku prawej stronie. Dwie pionowe linie przerywane dzielą wykres na trzy obszary. Nad wykresem biegnie pozioma linia zakończona strzałkami w obu kierunkach.</w:t>
      </w:r>
    </w:p>
    <w:p>
      <w:pPr/>
      <w:r>
        <w:rPr>
          <w:rFonts w:ascii="Arial" w:hAnsi="Arial" w:eastAsia="Arial" w:cs="Arial"/>
          <w:lang w:val="pl-PL"/>
        </w:rPr>
        <w:t>Lewy obszar jest niebieski. Nad nim widnieje „POZA NORMĄ”, a pod nim „rzadziej spotykane sposoby funkcjonowania”. Środkowy obszar, pod szczytem krzywej, jest zielonkawy. Nad nim widnieje „NORMA”, a pod nim „najczęściej spotykane sposoby funkcjonowania”. Prawy obszar jest różowo-fioletowy. Nad nim ponownie widnieje „POZA NORMĄ”, a pod nim „rzadziej spotykane sposoby funkcjonowania”.</w:t>
      </w:r>
    </w:p>
    <w:p>
      <w:pPr/>
      <w:r>
        <w:rPr>
          <w:rFonts w:ascii="Arial" w:hAnsi="Arial" w:eastAsia="Arial" w:cs="Arial"/>
          <w:lang w:val="pl-PL"/>
        </w:rPr>
        <w:t>Pod wykresem, w drugim stalowoniebieskim polu, zapisano: „To co w jednej grupie uznawane jest za “normalne”, w innej może być nietypowe. Norma zmienia się w zależności od kontekstu, miejsca, czasu i kultury.”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9. Czy norma istnieje?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[07:54] Zmiana slajdu</w:t>
      </w:r>
    </w:p>
    <w:p>
      <w:pPr/>
      <w:r>
        <w:rPr>
          <w:rFonts w:ascii="Arial" w:hAnsi="Arial" w:eastAsia="Arial" w:cs="Arial"/>
          <w:lang w:val="pl-PL"/>
        </w:rPr>
        <w:t>Na stalowoniebieskim tle widnieje tytuł „Czy norma istnieje?”. Poniżej, w dużym jasnym polu, zapisano nagłówek „PRZYKŁAD: KONTAKT WZROKOWY”. Pod nim znajdują się cztery akapity:</w:t>
      </w:r>
    </w:p>
    <w:p>
      <w:pPr/>
      <w:r>
        <w:rPr>
          <w:rFonts w:ascii="Arial" w:hAnsi="Arial" w:eastAsia="Arial" w:cs="Arial"/>
          <w:lang w:val="pl-PL"/>
        </w:rPr>
        <w:t>„W Polsce kontakt wzrokowy często kojarzony jest z uwagą, szczerością i szacunkiem. Jego brak bywa odbierany jako niegrzeczność lub brak zainteresowania.”</w:t>
      </w:r>
    </w:p>
    <w:p>
      <w:pPr/>
      <w:r>
        <w:rPr>
          <w:rFonts w:ascii="Arial" w:hAnsi="Arial" w:eastAsia="Arial" w:cs="Arial"/>
          <w:lang w:val="pl-PL"/>
        </w:rPr>
        <w:t>„W niektórych kulturach Azji Wschodniej długie patrzenie rozmówcy w oczy może być uznawane za zbyt bezpośrednie lub nieuprzejme.”</w:t>
      </w:r>
    </w:p>
    <w:p>
      <w:pPr/>
      <w:r>
        <w:rPr>
          <w:rFonts w:ascii="Arial" w:hAnsi="Arial" w:eastAsia="Arial" w:cs="Arial"/>
          <w:lang w:val="pl-PL"/>
        </w:rPr>
        <w:t>„Dla wielu osób głuchych i słabosłyszących kontakt wzrokowy jest ważnym elementem komunikacji.”</w:t>
      </w:r>
    </w:p>
    <w:p>
      <w:pPr/>
      <w:r>
        <w:rPr>
          <w:rFonts w:ascii="Arial" w:hAnsi="Arial" w:eastAsia="Arial" w:cs="Arial"/>
          <w:lang w:val="pl-PL"/>
        </w:rPr>
        <w:t>„Dla części osób w spektrum autyzmu może być silnie przeciążający i utrudniać skupienie się na rozmowie.”</w:t>
      </w:r>
    </w:p>
    <w:p>
      <w:pPr/>
      <w:r>
        <w:rPr>
          <w:rFonts w:ascii="Arial" w:hAnsi="Arial" w:eastAsia="Arial" w:cs="Arial"/>
          <w:lang w:val="pl-PL"/>
        </w:rPr>
        <w:t>Na dole tego samego pola wyróżniono zdanie: „To samo zachowanie może więc oznaczać zaangażowanie, dyskomfort lub przeciążenie.”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10. Czy norma istnieje?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[08:55] Zmiana slajdu</w:t>
      </w:r>
    </w:p>
    <w:p>
      <w:pPr/>
      <w:r>
        <w:rPr>
          <w:rFonts w:ascii="Arial" w:hAnsi="Arial" w:eastAsia="Arial" w:cs="Arial"/>
          <w:lang w:val="pl-PL"/>
        </w:rPr>
        <w:t>Na stalowoniebieskim tle widnieje tytuł „Czy norma istnieje?”. W górnej części dużego jasnego pola znajduje się nagłówek „PRZYKŁAD: SPOŁECZNOŚĆ GŁUCHYCH” i tekst: „W społeczności Głuchych, gdzie większość osób komunikuje się w polskim języku migowym, to nie osoba Głucha będzie odbiegać od normy. To osoba słysząca, nieznająca PJM, będzie stanowić mniejszość i będzie potrzebowała wsparcia, aby w pełni uczestniczyć w komunikacji.”</w:t>
      </w:r>
    </w:p>
    <w:p>
      <w:pPr/>
      <w:r>
        <w:rPr>
          <w:rFonts w:ascii="Arial" w:hAnsi="Arial" w:eastAsia="Arial" w:cs="Arial"/>
          <w:lang w:val="pl-PL"/>
        </w:rPr>
        <w:t>W dolnej części tego samego pola zapisano „PRZYKŁADY ZE SLOTU:” i dwa akapity:</w:t>
      </w:r>
    </w:p>
    <w:p>
      <w:pPr/>
      <w:r>
        <w:rPr>
          <w:rFonts w:ascii="Arial" w:hAnsi="Arial" w:eastAsia="Arial" w:cs="Arial"/>
          <w:lang w:val="pl-PL"/>
        </w:rPr>
        <w:t>„W ekipie technicznej normą może być duża zmienność zadań, szybkie podejmowanie decyzji i komunikacja krótkimi komunikatami.”</w:t>
      </w:r>
    </w:p>
    <w:p>
      <w:pPr/>
      <w:r>
        <w:rPr>
          <w:rFonts w:ascii="Arial" w:hAnsi="Arial" w:eastAsia="Arial" w:cs="Arial"/>
          <w:lang w:val="pl-PL"/>
        </w:rPr>
        <w:t>„W ekipie warsztatowej normą może być skupienie na relacjach, dłuższa rozmowa i wspólne konsultowanie decyzji.”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11. Wszyscy funkcjonujemy w spektrum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[09:51] Zmiana slajdu</w:t>
      </w:r>
    </w:p>
    <w:p>
      <w:pPr/>
      <w:r>
        <w:rPr>
          <w:rFonts w:ascii="Arial" w:hAnsi="Arial" w:eastAsia="Arial" w:cs="Arial"/>
          <w:lang w:val="pl-PL"/>
        </w:rPr>
        <w:t>Na jasnokremowym tle u góry widnieje tytuł „Wszyscy funkcjonujemy w spektrum”. Pod nim zapisano: „W zależności od sytuacji (dom, praca, wakacje) możemy różnie odczuwać np. potrzebę kontaktu z ludźmi, wrażliwość na hałas, potrzeba planu.”</w:t>
      </w:r>
    </w:p>
    <w:p>
      <w:pPr/>
      <w:r>
        <w:rPr>
          <w:rFonts w:ascii="Arial" w:hAnsi="Arial" w:eastAsia="Arial" w:cs="Arial"/>
          <w:lang w:val="pl-PL"/>
        </w:rPr>
        <w:t>Niżej zapisano: „Niecodzienne warunki, takie stres, hałas, niewyspanie, tłum, nowe sytuacje na Slocie mogą “wyrzucić” nas poza naszą normę, którą znamy.” Pod tekstem znajdują się cztery wypunktowane przykłady: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osoba bardzo towarzyska może zacząć unikać ludzi.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osoba świetnie zorganizowana może mieć trudność z koncentracją.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osoba spokojna może reagować bardziej impulsywnie.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osoba samodzielna może potrzebować więcej wsparcia.</w:t>
      </w:r>
    </w:p>
    <w:p>
      <w:pPr/>
      <w:r>
        <w:rPr>
          <w:rFonts w:ascii="Arial" w:hAnsi="Arial" w:eastAsia="Arial" w:cs="Arial"/>
          <w:lang w:val="pl-PL"/>
        </w:rPr>
        <w:t>Pod przykładami biegnie pozioma skala. Nad jej lewym, czerwonym końcem i znakiem minusa umieszczono czerwoną twarz z gniewną miną. Dalej, nad pomarańczową częścią, jest smutna twarz; nad żółtą, twarz neutralna; nad jasnozieloną, uśmiechnięta; nad zielonym końcem ze znakiem plusa, szeroko uśmiechnięta.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12. Te same sytuacje, różne reakcje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[11:04]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„Te same sytuacje, różne reakcje”. Poniżej, po lewej, znajduje się nagłówek „PRZYKŁAD: TEN SAM KONCERT, RÓŻNE REAKCJE”. Po prawej od przykładów narysowano czarną scenę koncertową z kratownicą, pięcioma reflektorami i dwoma głośnikami. Pod nagłówkiem po lewej są cztery grupy; w każdej dwa wypunktowane zdania:</w:t>
      </w:r>
    </w:p>
    <w:p>
      <w:pPr/>
      <w:r>
        <w:rPr>
          <w:rFonts w:ascii="Arial" w:hAnsi="Arial" w:eastAsia="Arial" w:cs="Arial"/>
          <w:lang w:val="pl-PL"/>
        </w:rPr>
        <w:t>„Osoba A”: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świetnie się bawi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 koncercie ma więcej energii</w:t>
      </w:r>
    </w:p>
    <w:p>
      <w:pPr/>
      <w:r>
        <w:rPr>
          <w:rFonts w:ascii="Arial" w:hAnsi="Arial" w:eastAsia="Arial" w:cs="Arial"/>
          <w:lang w:val="pl-PL"/>
        </w:rPr>
        <w:t>„Osoba B”: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 godzinie wychodzi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potrzebuje ciszy i odpoczynku</w:t>
      </w:r>
    </w:p>
    <w:p>
      <w:pPr/>
      <w:r>
        <w:rPr>
          <w:rFonts w:ascii="Arial" w:hAnsi="Arial" w:eastAsia="Arial" w:cs="Arial"/>
          <w:lang w:val="pl-PL"/>
        </w:rPr>
        <w:t>„Osoba C”: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następnego dnia jest wyczerpana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ma trudność ze skupieniem</w:t>
      </w:r>
    </w:p>
    <w:p>
      <w:pPr/>
      <w:r>
        <w:rPr>
          <w:rFonts w:ascii="Arial" w:hAnsi="Arial" w:eastAsia="Arial" w:cs="Arial"/>
          <w:lang w:val="pl-PL"/>
        </w:rPr>
        <w:t>„Osoba D”: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staje się drażliwa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reaguje bardziej emocjonalnie niż zwykle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13. 3 ważne zasady na Slot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[12:02]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„Te same sytuacje, różne reakcje”. W jasnym polu pośrodku widnieje nagłówek „3 ważne zasady na Slot”. Pod nim każda zasada zajmuje osobny wiersz, z ikoną po lewej: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Obok konturu elementu układanki: Nie znamy całej historii drugiej osoby.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Obok przekreślonego okręgu: Nie diagnozujemy, nie oceniamy.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Obok konturu serca: Zakładamy dobre intencje.</w:t>
      </w:r>
    </w:p>
    <w:p>
      <w:pPr/>
      <w:r>
        <w:rPr>
          <w:rFonts w:ascii="Arial" w:hAnsi="Arial" w:eastAsia="Arial" w:cs="Arial"/>
          <w:lang w:val="pl-PL"/>
        </w:rPr>
        <w:t>W dolnych narożnikach slajdu znajdują się ukośne białe strzałki skierowane ku górze.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14. Te same sytuacje, różne reakcje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[13:18]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„Te same sytuacje, różne reakcje”. Poniżej umieszczono pięć jasnych ponumerowanych pól: trzy w górnym rzędzie i dwa w dolnym. W każdym numer, nazwa obszaru i objaśnienie są wewnątrz tego samego pola: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Górny rząd, pole 1: Komunikacja i relacje. Jak rozmawiamy, budujemy relacje i uczestniczymy w życiu grupy.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Górny rząd, pole 2: Organizacja, czas i zadania. Jak planujemy, zapamiętujemy informacje i realizujemy obowiązki.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Górny rząd, pole 3: Emocje i informacja zwrotna. Jak okazujemy emocje. Jak reagujemy na stres, konflikty, krytykę i niepowodzenia.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Dolny rząd, pole 4: Przeciążenie, sensoryka i dobrostan. Jak wpływają na nas bodźce, zmęczenie i warunki festiwalowe.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Dolny rząd, pole 5: Skupienie, decyzje i odpowiedzialność. Jak podejmujemy decyzje, ustalamy priorytety i zarządzamy własną energią.</w:t>
      </w:r>
    </w:p>
    <w:p>
      <w:pPr/>
      <w:r>
        <w:rPr>
          <w:rFonts w:ascii="Arial" w:hAnsi="Arial" w:eastAsia="Arial" w:cs="Arial"/>
          <w:lang w:val="pl-PL"/>
        </w:rPr>
        <w:t>W dolnych narożnikach znajdują się ukośne białe strzałki skierowane ku górze.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15. 1. Komunikacja i relacje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[13:37]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widnieje tytuł „1. Komunikacja i relacje”. Lewa część slajdu zawiera jasne pole z tekstem: „Jak rozmawiamy, budujemy relacje i uczestniczymy w życiu grupy.”. Kontur dwóch zwróconych do siebie profili i dymek rozmowy częściowo nachodzą na dolny prawy róg tego pola.</w:t>
      </w:r>
    </w:p>
    <w:p>
      <w:pPr/>
      <w:r>
        <w:rPr>
          <w:rFonts w:ascii="Arial" w:hAnsi="Arial" w:eastAsia="Arial" w:cs="Arial"/>
          <w:lang w:val="pl-PL"/>
        </w:rPr>
        <w:t>W prawym jasnym polu widnieje nagłówek „Możliwe trudności w Ekipie:”. Bezpośrednio pod nim umieszczono listę: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nie odzywa się na spotkaniach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zadaje bardzo dużo pytań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ciągle prosi o doprecyzowanie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mówi bardzo dużo lub przerywa innym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mówi bardzo bezpośrednio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nie używa zwrotów grzecznościowych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obraża się, nie wyczuwa żartów i ironii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nie patrzy w oczy podczas rozmowy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nie pamięta imion lub twarzy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16. 2. Organizacja, czas i zadania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[14:55]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widnieje tytuł „2. Organizacja, czas i zadania”. Lewa część slajdu zawiera jasne pole z tekstem: „Jak planujemy, zapamiętujemy informacje i realizujemy obowiązki.”. Kontur listy kontrolnej z ołówkiem nachodzi na dolną krawędź tego pola.</w:t>
      </w:r>
    </w:p>
    <w:p>
      <w:pPr/>
      <w:r>
        <w:rPr>
          <w:rFonts w:ascii="Arial" w:hAnsi="Arial" w:eastAsia="Arial" w:cs="Arial"/>
          <w:lang w:val="pl-PL"/>
        </w:rPr>
        <w:t>W prawym jasnym polu widnieje nagłówek „Możliwe trudności w Ekipie:”. Bezpośrednio pod nim umieszczono listę: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zapomina polecenia i ustalenia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gubi rzeczy i ciągle czegoś szuka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zaczyna zadania, ale ich nie kończy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nie wie od czego zacząć lub często pyta „co teraz?”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potrzebuje bardzo szczegółowych instrukcji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regularnie się spóźnia lub nie przychodzi na ustalone spotkania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źle szacuje czas potrzebny na wykonanie zadania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popełnia dużo drobnych błędów lub nadmiernie skupia się na szczegółach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17. 3. Emocje i informacja zwrotna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[15:57]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widnieje tytuł „3. Emocje i informacja zwrotna”. Lewa część slajdu zawiera jasne pole z tekstem: „Jak okazujemy emocje. Jak reagujemy na stres, konflikty, krytykę i niepowodzenia.”. Kontury trzech twarzy o pogodnym, neutralnym i smutnym wyrazie nachodzą na dolny prawy róg tego pola.</w:t>
      </w:r>
    </w:p>
    <w:p>
      <w:pPr/>
      <w:r>
        <w:rPr>
          <w:rFonts w:ascii="Arial" w:hAnsi="Arial" w:eastAsia="Arial" w:cs="Arial"/>
          <w:lang w:val="pl-PL"/>
        </w:rPr>
        <w:t>W prawym jasnym polu widnieje nagłówek „Możliwe trudności w Ekipie:”. Bezpośrednio pod nim umieszczono listę: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bardzo mocno przeżywa krytykę i niepowodzenia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długo wraca do trudnych sytuacji lub rozmów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łatwo się frustruje lub zniechęca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reaguje silniej emocjonalnie niż inni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bierze wiele rzeczy osobiście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wycofuje się po konflikcie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płacze lub reaguje złością w sytuacjach stresowych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18. 4. Przeciążenie, sensoryka i dobrostan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[17:08]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widnieje tytuł „4. Przeciążenie, sensoryka i dobrostan”. Lewa część slajdu zawiera jasne pole z tekstem: „Jak wpływają na nas bodźce, zmęczenie i warunki festiwalowe.”. Kontur osoby i strzałki skierowane ku niej, wraz z obramowaniem, znajdują się pod tekstem i częściowo nachodzą na dolną krawędź pola.</w:t>
      </w:r>
    </w:p>
    <w:p>
      <w:pPr/>
      <w:r>
        <w:rPr>
          <w:rFonts w:ascii="Arial" w:hAnsi="Arial" w:eastAsia="Arial" w:cs="Arial"/>
          <w:lang w:val="pl-PL"/>
        </w:rPr>
        <w:t>W prawym jasnym polu widnieje nagłówek „Możliwe trudności w Ekipie:”. Bezpośrednio pod nim umieszczono listę: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wycofuje się z życia ekipy lub unika kontaktu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unika tłumu, hałasu i integracji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nosi słuchawki lub patrzy w telefon podczas spotkań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zapomina o jedzeniu, piciu i odpoczynku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wydaje się zmęczona/y lub nieobecna/y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mówi, że „nie ogarnia”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reaguje impulsywnie, złością lub płaczem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przestaje wykonywać nawet proste zadania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19. 5. Skupienie, decyzje i odpowiedzialność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[19:00]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widnieje tytuł „5. Skupienie, decyzje i odpowiedzialność”. Lewa część slajdu zawiera jasne pole z tekstem: „Jak podejmujemy decyzje, ustalamy priorytety i zarządzamy własną energią.”. Pod tekstem i przy dolnym prawym rogu pola znajduje się kontur osoby, od której prowadzą strzałki do pięciu pól z haczykami lub krzyżykami.</w:t>
      </w:r>
    </w:p>
    <w:p>
      <w:pPr/>
      <w:r>
        <w:rPr>
          <w:rFonts w:ascii="Arial" w:hAnsi="Arial" w:eastAsia="Arial" w:cs="Arial"/>
          <w:lang w:val="pl-PL"/>
        </w:rPr>
        <w:t>W prawym jasnym polu widnieje nagłówek „Możliwe trudności w Ekipie:”. Bezpośrednio pod nim umieszczono listę: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trudno mu/jej podjąć decyzję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długo analizuje możliwe scenariusze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boi się popełnić błąd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potrzebuje częstego potwierdzania decyzji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bierze na siebie zbyt dużo obowiązków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tak skupia się na jednym zadaniu, że zapomina o wszystkim innym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nie zauważa upływu czasu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źle reaguje na zmiany planów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bardzo ściśle trzyma się planów lub zasad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20. 7 uniwersalnych zasad wspierania Ekip na Slot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[19:34]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„7 uniwersalnych zasad wspierania Ekip na Slot”. Po lewej znajduje się sześć jasnych poziomych pól. Każde jest połączone z numerem w kółku umieszczonym przy jego lewym brzegu: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Pole 1: Jasno określaj zasady działania ekipy, role, odpowiedzialności i sposoby wykonywania zadań. Komunikuj zmiany.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Pole 2: Zapisuj ustalenia, harmonogramy i zadania w widocznym miejscu. Wysyłaj podsumowania spotkań na grupie.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Pole 3: Upewniaj się, że zadania i informacje zostały zrozumiane. Zachęcaj do zadawania pytań.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Pole 4: Dziel większe zadania na etapy i mniejsze kroki.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Pole 5: Dbaj o relacje w ekipie, integrację, podsumowania i świętowanie sukcesów. Szanuj granice i zachęcaj do odpoczynku.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Pole 6: Udzielaj pozytywnej informacji zwrotnej, ale nie promuj pracy ponad siły.</w:t>
      </w:r>
    </w:p>
    <w:p>
      <w:pPr/>
      <w:r>
        <w:rPr>
          <w:rFonts w:ascii="Arial" w:hAnsi="Arial" w:eastAsia="Arial" w:cs="Arial"/>
          <w:lang w:val="pl-PL"/>
        </w:rPr>
        <w:t>Po prawej, pod osobnym kółkiem z numerem „7”, znajduje się duże jasne pole. Nad napisem „Zakładaj dobre intencje” umieszczono w nim małe żółte serce.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21. Różnice są zasobem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[24:31]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widnieje tytuł „Różnice są zasobem”. W dużym jasnym polu zapisano: „To samo zachowanie może być jednocześnie wyzwaniem i zasobem.” Niżej, w dwóch kolumnach, zestawiono zachowania z odpowiadającymi im zasobami. Każdą parę łączy linia z kropek: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dużo pytań → dbałość o szczegóły, nieszablonowe rozwiązania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upór → konsekwencja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potrzeba planu → dobra organizacja, kończeni zadań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nadmierna analiza → dostrzeganie ryzyka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hiperfokus → wysokie zaangażowanie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bezpośredniość → szczerość i jasna komunikacja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potrzeba samotności → samodzielność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22. Self-care Szefowych i Szefów Ekip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[26:44] Zmiana slajdu</w:t>
      </w:r>
    </w:p>
    <w:p>
      <w:pPr/>
      <w:r>
        <w:rPr>
          <w:rFonts w:ascii="Arial" w:hAnsi="Arial" w:eastAsia="Arial" w:cs="Arial"/>
          <w:lang w:val="pl-PL"/>
        </w:rPr>
        <w:t>Na stalowoniebieskim tle u góry zapisano „Self-care Szefowych i Szefów Ekip”. Poniżej są dwa jasne pola obok siebie. W lewym polu, w osobnych wierszach, zapisano: „Jedz. Pij. Śpij. Odpoczywaj.”, „Deleguj zadania.” i „Korzystaj ze wsparcia.”</w:t>
      </w:r>
    </w:p>
    <w:p>
      <w:pPr/>
      <w:r>
        <w:rPr>
          <w:rFonts w:ascii="Arial" w:hAnsi="Arial" w:eastAsia="Arial" w:cs="Arial"/>
          <w:lang w:val="pl-PL"/>
        </w:rPr>
        <w:t>W prawym polu pod nagłówkiem „Wsparcia na Slocie możesz szukać m.in.:” znajduje się lista: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u innych osób szejkowskich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u swojej asystentki/asystenta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 koordynacji wolontariatu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 Ekipie Dostępności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 Psychologicznym Help Desku</w:t>
      </w:r>
    </w:p>
    <w:p>
      <w:pPr>
        <w:pStyle w:val="ListBullet"/>
      </w:pPr>
      <w:r>
        <w:rPr>
          <w:rFonts w:ascii="Arial" w:hAnsi="Arial" w:eastAsia="Arial" w:cs="Arial"/>
          <w:lang w:val="pl-PL"/>
        </w:rPr>
        <w:t>w punkcie medycznym</w:t>
      </w:r>
    </w:p>
    <w:p>
      <w:pPr>
        <w:pStyle w:val="Heading2"/>
        <w:keepNext/>
      </w:pPr>
      <w:r>
        <w:rPr>
          <w:rFonts w:ascii="Arial" w:hAnsi="Arial" w:eastAsia="Arial" w:cs="Arial"/>
          <w:lang w:val="pl-PL"/>
        </w:rPr>
        <w:t>Slajd 23. Dziękuję!</w:t>
      </w:r>
    </w:p>
    <w:p>
      <w:pPr>
        <w:keepNext w:val="1"/>
      </w:pPr>
      <w:r>
        <w:rPr>
          <w:rFonts w:ascii="Arial" w:hAnsi="Arial" w:eastAsia="Arial" w:cs="Arial"/>
          <w:lang w:val="pl-PL"/>
        </w:rPr>
        <w:t>[28:09] Zmiana slajdu</w:t>
      </w:r>
    </w:p>
    <w:p>
      <w:pPr>
        <w:keepNext/>
      </w:pPr>
      <w:r>
        <w:rPr>
          <w:rFonts w:ascii="Arial" w:hAnsi="Arial" w:eastAsia="Arial" w:cs="Arial"/>
          <w:lang w:val="pl-PL"/>
        </w:rPr>
        <w:t>Na stalowoniebieskim tle po lewej dużymi białymi literami zapisano „Dziękuję!”. Poniżej znajdują się trzy wiersze danych kontaktowych:</w:t>
      </w:r>
    </w:p>
    <w:p>
      <w:pPr>
        <w:pStyle w:val="ListBullet"/>
        <w:keepNext/>
      </w:pPr>
      <w:r>
        <w:rPr>
          <w:rFonts w:ascii="Arial" w:hAnsi="Arial" w:eastAsia="Arial" w:cs="Arial"/>
          <w:lang w:val="pl-PL"/>
        </w:rPr>
        <w:t>Kontakt: ja@joannarzepka.pl</w:t>
      </w:r>
    </w:p>
    <w:p>
      <w:pPr>
        <w:pStyle w:val="ListBullet"/>
        <w:keepNext/>
      </w:pPr>
      <w:r>
        <w:rPr>
          <w:rFonts w:ascii="Arial" w:hAnsi="Arial" w:eastAsia="Arial" w:cs="Arial"/>
          <w:lang w:val="pl-PL"/>
        </w:rPr>
        <w:t>www.joannarzepka.pl</w:t>
      </w:r>
    </w:p>
    <w:p>
      <w:pPr>
        <w:pStyle w:val="ListBullet"/>
        <w:keepNext/>
      </w:pPr>
      <w:r>
        <w:rPr>
          <w:rFonts w:ascii="Arial" w:hAnsi="Arial" w:eastAsia="Arial" w:cs="Arial"/>
          <w:lang w:val="pl-PL"/>
        </w:rPr>
        <w:t>ig. kulturaneurodostepna</w:t>
      </w:r>
    </w:p>
    <w:p>
      <w:pPr/>
      <w:r>
        <w:rPr>
          <w:rFonts w:ascii="Arial" w:hAnsi="Arial" w:eastAsia="Arial" w:cs="Arial"/>
          <w:lang w:val="pl-PL"/>
        </w:rPr>
        <w:t>Po prawej umieszczono kwadratowe logo festiwalu w odcieniach granatu i fioletu, na tle falujących linii, okręgów i znaków przypominających cele. Przy prawej krawędzi biegnie jasnokremowy pas. W lewym dolnym rogu znajduje się ukośna biała strzałka skierowana ku górze.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 w:eastAsia="Arial" w:cs="Arial"/>
        <w:lang w:val="pl-P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 w:eastAsia="Arial" w:cs="Arial"/>
        <w:lang w:val="pl-P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 w:eastAsia="Arial" w:cs="Arial"/>
        <w:lang w:val="pl-P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 w:eastAsia="Arial" w:cs="Arial"/>
        <w:lang w:val="pl-P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40" w:line="276" w:lineRule="auto" w:before="0"/>
    </w:pPr>
    <w:rPr>
      <w:rFonts w:ascii="Arial" w:hAnsi="Arial" w:eastAsia="Arial" w:cs="Arial"/>
      <w:b w:val="0"/>
      <w:i w:val="0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 w:line="276" w:lineRule="auto"/>
      <w:outlineLvl w:val="0"/>
    </w:pPr>
    <w:rPr>
      <w:rFonts w:ascii="Arial" w:hAnsi="Arial" w:eastAsia="Arial" w:cs="Arial"/>
      <w:b/>
      <w:bCs/>
      <w:i w:val="0"/>
      <w:color w:val="243F50"/>
      <w:sz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76" w:lineRule="auto"/>
      <w:outlineLvl w:val="1"/>
    </w:pPr>
    <w:rPr>
      <w:rFonts w:ascii="Arial" w:hAnsi="Arial" w:eastAsia="Arial" w:cs="Arial"/>
      <w:b/>
      <w:bCs/>
      <w:i w:val="0"/>
      <w:color w:val="243F50"/>
      <w:sz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76" w:lineRule="auto"/>
      <w:outlineLvl w:val="2"/>
    </w:pPr>
    <w:rPr>
      <w:rFonts w:ascii="Arial" w:hAnsi="Arial" w:eastAsia="Arial" w:cs="Arial"/>
      <w:b/>
      <w:bCs/>
      <w:i w:val="0"/>
      <w:color w:val="243F50"/>
      <w:sz w:val="24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  <w:lang w:val="pl-PL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Arial" w:cs="Arial"/>
      <w:lang w:val="pl-PL"/>
    </w:rPr>
  </w:style>
  <w:style w:type="numbering" w:default="1" w:styleId="NoList">
    <w:name w:val="No List"/>
    <w:uiPriority w:val="99"/>
    <w:semiHidden/>
    <w:unhideWhenUsed/>
    <w:rPr>
      <w:rFonts w:ascii="Arial" w:hAnsi="Arial" w:eastAsia="Arial" w:cs="Arial"/>
      <w:lang w:val="pl-P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  <w:lang w:val="pl-PL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  <w:lang w:val="pl-PL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  <w:lang w:val="pl-PL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76" w:lineRule="auto" w:before="0"/>
      <w:contextualSpacing/>
    </w:pPr>
    <w:rPr>
      <w:rFonts w:ascii="Arial" w:hAnsi="Arial" w:eastAsia="Arial" w:cs="Arial"/>
      <w:b w:val="0"/>
      <w:i w:val="0"/>
      <w:color w:val="000000"/>
      <w:sz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spacing w:before="0" w:after="240" w:line="276" w:lineRule="auto"/>
    </w:pPr>
    <w:rPr>
      <w:rFonts w:ascii="Arial" w:hAnsi="Arial" w:eastAsia="Arial" w:cs="Arial"/>
      <w:b w:val="0"/>
      <w:i w:val="0"/>
      <w:iCs/>
      <w:color w:val="243F50"/>
      <w:sz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  <w:lang w:val="pl-PL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  <w:lang w:val="pl-P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  <w:lang w:val="pl-P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  <w:lang w:val="pl-PL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rFonts w:ascii="Arial" w:hAnsi="Arial" w:eastAsia="Arial" w:cs="Arial"/>
      <w:color w:val="000000"/>
      <w:sz w:val="22"/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  <w:lang w:val="pl-PL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  <w:lang w:val="pl-P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  <w:lang w:val="pl-P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  <w:lang w:val="pl-P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  <w:lang w:val="pl-P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  <w:lang w:val="pl-PL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  <w:lang w:val="pl-P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  <w:lang w:val="pl-PL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  <w:lang w:val="pl-PL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  <w:lang w:val="pl-PL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  <w:lang w:val="pl-PL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  <w:lang w:val="pl-PL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  <w:lang w:val="pl-P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Arial" w:hAnsi="Arial" w:eastAsia="Arial" w:cs="Arial"/>
      <w:lang w:val="pl-PL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  <w:lang w:val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  <w:lang w:val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  <w:lang w:val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  <w:lang w:val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  <w:lang w:val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  <w:lang w:val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  <w:lang w:val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rFonts w:ascii="Arial" w:hAnsi="Arial" w:eastAsia="Arial" w:cs="Arial"/>
      <w:lang w:val="pl-PL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rFonts w:ascii="Arial" w:hAnsi="Arial" w:eastAsia="Arial" w:cs="Arial"/>
      <w:lang w:val="pl-PL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rFonts w:ascii="Arial" w:hAnsi="Arial" w:eastAsia="Arial" w:cs="Arial"/>
      <w:lang w:val="pl-PL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rFonts w:ascii="Arial" w:hAnsi="Arial" w:eastAsia="Arial" w:cs="Arial"/>
      <w:lang w:val="pl-PL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rFonts w:ascii="Arial" w:hAnsi="Arial" w:eastAsia="Arial" w:cs="Arial"/>
      <w:lang w:val="pl-PL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rFonts w:ascii="Arial" w:hAnsi="Arial" w:eastAsia="Arial" w:cs="Arial"/>
      <w:lang w:val="pl-PL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rFonts w:ascii="Arial" w:hAnsi="Arial" w:eastAsia="Arial" w:cs="Arial"/>
      <w:lang w:val="pl-PL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rFonts w:ascii="Arial" w:hAnsi="Arial" w:eastAsia="Arial" w:cs="Arial"/>
      <w:lang w:val="pl-PL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rFonts w:ascii="Arial" w:hAnsi="Arial" w:eastAsia="Arial" w:cs="Arial"/>
      <w:lang w:val="pl-PL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rFonts w:ascii="Arial" w:hAnsi="Arial" w:eastAsia="Arial" w:cs="Arial"/>
      <w:lang w:val="pl-PL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rFonts w:ascii="Arial" w:hAnsi="Arial" w:eastAsia="Arial" w:cs="Arial"/>
      <w:lang w:val="pl-PL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rFonts w:ascii="Arial" w:hAnsi="Arial" w:eastAsia="Arial" w:cs="Arial"/>
      <w:lang w:val="pl-PL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rFonts w:ascii="Arial" w:hAnsi="Arial" w:eastAsia="Arial" w:cs="Arial"/>
      <w:lang w:val="pl-PL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rFonts w:ascii="Arial" w:hAnsi="Arial" w:eastAsia="Arial" w:cs="Arial"/>
      <w:lang w:val="pl-PL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rFonts w:ascii="Arial" w:hAnsi="Arial" w:eastAsia="Arial" w:cs="Arial"/>
      <w:lang w:val="pl-PL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rFonts w:ascii="Arial" w:hAnsi="Arial" w:eastAsia="Arial" w:cs="Arial"/>
      <w:lang w:val="pl-PL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rFonts w:ascii="Arial" w:hAnsi="Arial" w:eastAsia="Arial" w:cs="Arial"/>
      <w:lang w:val="pl-PL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rFonts w:ascii="Arial" w:hAnsi="Arial" w:eastAsia="Arial" w:cs="Arial"/>
      <w:lang w:val="pl-PL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rFonts w:ascii="Arial" w:hAnsi="Arial" w:eastAsia="Arial" w:cs="Arial"/>
      <w:lang w:val="pl-PL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rFonts w:ascii="Arial" w:hAnsi="Arial" w:eastAsia="Arial" w:cs="Arial"/>
      <w:lang w:val="pl-PL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rFonts w:ascii="Arial" w:hAnsi="Arial" w:eastAsia="Arial" w:cs="Arial"/>
      <w:lang w:val="pl-PL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rFonts w:ascii="Arial" w:hAnsi="Arial" w:eastAsia="Arial" w:cs="Arial"/>
      <w:lang w:val="pl-PL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rFonts w:ascii="Arial" w:hAnsi="Arial" w:eastAsia="Arial" w:cs="Arial"/>
      <w:lang w:val="pl-PL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rFonts w:ascii="Arial" w:hAnsi="Arial" w:eastAsia="Arial" w:cs="Arial"/>
      <w:lang w:val="pl-PL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rFonts w:ascii="Arial" w:hAnsi="Arial" w:eastAsia="Arial" w:cs="Arial"/>
      <w:lang w:val="pl-PL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rFonts w:ascii="Arial" w:hAnsi="Arial" w:eastAsia="Arial" w:cs="Arial"/>
      <w:lang w:val="pl-PL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rFonts w:ascii="Arial" w:hAnsi="Arial" w:eastAsia="Arial" w:cs="Arial"/>
      <w:lang w:val="pl-PL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rFonts w:ascii="Arial" w:hAnsi="Arial" w:eastAsia="Arial" w:cs="Arial"/>
      <w:lang w:val="pl-PL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rFonts w:ascii="Arial" w:hAnsi="Arial" w:eastAsia="Arial" w:cs="Arial"/>
      <w:lang w:val="pl-PL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  <w:lang w:val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  <a:font script="Jpan" typeface="Arial"/>
        <a:font script="Hang" typeface="Arial"/>
        <a:font script="Hans" typeface="Arial"/>
        <a:font script="Hant" typeface="Arial"/>
        <a:font script="Arab" typeface="Arial"/>
        <a:font script="Hebr" typeface="Arial"/>
        <a:font script="Thai" typeface="Arial"/>
        <a:font script="Ethi" typeface="Arial"/>
        <a:font script="Beng" typeface="Arial"/>
        <a:font script="Gujr" typeface="Arial"/>
        <a:font script="Khmr" typeface="Arial"/>
        <a:font script="Knda" typeface="Arial"/>
        <a:font script="Guru" typeface="Arial"/>
        <a:font script="Cans" typeface="Arial"/>
        <a:font script="Cher" typeface="Arial"/>
        <a:font script="Yiii" typeface="Arial"/>
        <a:font script="Tibt" typeface="Arial"/>
        <a:font script="Thaa" typeface="Arial"/>
        <a:font script="Deva" typeface="Arial"/>
        <a:font script="Telu" typeface="Arial"/>
        <a:font script="Taml" typeface="Arial"/>
        <a:font script="Syrc" typeface="Arial"/>
        <a:font script="Orya" typeface="Arial"/>
        <a:font script="Mlym" typeface="Arial"/>
        <a:font script="Laoo" typeface="Arial"/>
        <a:font script="Sinh" typeface="Arial"/>
        <a:font script="Mong" typeface="Arial"/>
        <a:font script="Viet" typeface="Arial"/>
        <a:font script="Uigh" typeface="Arial"/>
        <a:font script="Geor" typeface="Arial"/>
      </a:majorFont>
      <a:minorFont>
        <a:latin typeface="Arial"/>
        <a:ea typeface="Arial"/>
        <a:cs typeface="Arial"/>
        <a:font script="Jpan" typeface="Arial"/>
        <a:font script="Hang" typeface="Arial"/>
        <a:font script="Hans" typeface="Arial"/>
        <a:font script="Hant" typeface="Arial"/>
        <a:font script="Arab" typeface="Arial"/>
        <a:font script="Hebr" typeface="Arial"/>
        <a:font script="Thai" typeface="Arial"/>
        <a:font script="Ethi" typeface="Arial"/>
        <a:font script="Beng" typeface="Arial"/>
        <a:font script="Gujr" typeface="Arial"/>
        <a:font script="Khmr" typeface="Arial"/>
        <a:font script="Knda" typeface="Arial"/>
        <a:font script="Guru" typeface="Arial"/>
        <a:font script="Cans" typeface="Arial"/>
        <a:font script="Cher" typeface="Arial"/>
        <a:font script="Yiii" typeface="Arial"/>
        <a:font script="Tibt" typeface="Arial"/>
        <a:font script="Thaa" typeface="Arial"/>
        <a:font script="Deva" typeface="Arial"/>
        <a:font script="Telu" typeface="Arial"/>
        <a:font script="Taml" typeface="Arial"/>
        <a:font script="Syrc" typeface="Arial"/>
        <a:font script="Orya" typeface="Arial"/>
        <a:font script="Mlym" typeface="Arial"/>
        <a:font script="Laoo" typeface="Arial"/>
        <a:font script="Sinh" typeface="Arial"/>
        <a:font script="Mong" typeface="Arial"/>
        <a:font script="Viet" typeface="Arial"/>
        <a:font script="Uigh" typeface="Arial"/>
        <a:font script="Geor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Praca z różnorodnością na Slot Art Festival – dokładne opisy wizualne slajdów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