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Title"/>
      </w:pPr>
      <w:r>
        <w:rPr>
          <w:rFonts w:ascii="Arial" w:hAnsi="Arial" w:eastAsia="Arial" w:cs="Arial"/>
          <w:lang w:val="pl-PL"/>
        </w:rPr>
        <w:t>Odpoczynek jako kompetencja i zapobieganie wypaleniu w zarządzaniu zespołem</w:t>
      </w:r>
    </w:p>
    <w:p>
      <w:pPr>
        <w:pStyle w:val="Subtitle"/>
      </w:pPr>
      <w:r>
        <w:rPr>
          <w:rFonts w:ascii="Arial" w:hAnsi="Arial" w:eastAsia="Arial" w:cs="Arial"/>
          <w:lang w:val="pl-PL"/>
        </w:rPr>
        <w:t>Dokładne opisy wizualne slajdów</w:t>
      </w:r>
    </w:p>
    <w:p>
      <w:pPr/>
      <w:r>
        <w:rPr>
          <w:rFonts w:ascii="Arial" w:hAnsi="Arial" w:eastAsia="Arial" w:cs="Arial"/>
          <w:lang w:val="pl-PL"/>
        </w:rPr>
        <w:t>Prowadzenie: Karolina Pluta</w:t>
      </w:r>
    </w:p>
    <w:p>
      <w:pPr/>
      <w:r>
        <w:rPr>
          <w:rFonts w:ascii="Arial" w:hAnsi="Arial" w:eastAsia="Arial" w:cs="Arial"/>
          <w:lang w:val="pl-PL"/>
        </w:rPr>
        <w:t>Czas trwania: 38 minut 26 sekund</w:t>
      </w:r>
    </w:p>
    <w:p>
      <w:pPr>
        <w:pStyle w:val="Heading1"/>
      </w:pPr>
      <w:r>
        <w:rPr>
          <w:rFonts w:ascii="Arial" w:hAnsi="Arial" w:eastAsia="Arial" w:cs="Arial"/>
          <w:lang w:val="pl-PL"/>
        </w:rPr>
        <w:t>O dokumencie</w:t>
      </w:r>
    </w:p>
    <w:p>
      <w:pPr/>
      <w:r>
        <w:rPr>
          <w:rFonts w:ascii="Arial" w:hAnsi="Arial" w:eastAsia="Arial" w:cs="Arial"/>
          <w:lang w:val="pl-PL"/>
        </w:rPr>
        <w:t>Dokument zawiera pełne opisy informacji widocznych na planszy otwierającej, obrazach z kamer i slajdach pokazanych w nagranej części webinaru. Teksty widoczne na slajdach są przytaczane wiernie, bez zastępowania ich streszczeniami. Znaczniki czasu pomagają odnaleźć odpowiedni fragment nagrania.</w:t>
      </w:r>
    </w:p>
    <w:p>
      <w:pPr/>
      <w:r>
        <w:rPr>
          <w:rFonts w:ascii="Arial" w:hAnsi="Arial" w:eastAsia="Arial" w:cs="Arial"/>
          <w:lang w:val="pl-PL"/>
        </w:rPr>
        <w:t>Dokument może być czytany na ekranie, odsłuchiwany za pomocą syntezy mowy oraz obsługiwany czytnikiem ekranu, na przykład VoiceOver lub NVDA. Z dokumentu mogą korzystać między innymi osoby używające czytników ekranu, osoby głuche i słabosłyszące, osoby mające trudności z przetwarzaniem informacji słuchowych lub wizualnych oraz osoby, które wolą czytać we własnym tempie.</w:t>
      </w:r>
    </w:p>
    <w:p>
      <w:pPr>
        <w:pStyle w:val="Heading1"/>
      </w:pPr>
      <w:r>
        <w:rPr>
          <w:rFonts w:ascii="Arial" w:hAnsi="Arial" w:eastAsia="Arial" w:cs="Arial"/>
          <w:lang w:val="pl-PL"/>
        </w:rPr>
        <w:t>Jak korzystać z dokumentu</w:t>
      </w:r>
    </w:p>
    <w:p>
      <w:pPr>
        <w:pStyle w:val="ListBullet"/>
        <w:numPr>
          <w:ilvl w:val="0"/>
          <w:numId w:val="1"/>
        </w:numPr>
      </w:pPr>
      <w:r>
        <w:rPr>
          <w:rFonts w:ascii="Arial" w:hAnsi="Arial" w:eastAsia="Arial" w:cs="Arial"/>
          <w:lang w:val="pl-PL"/>
        </w:rPr>
        <w:t>Plansza otwierająca, pełnoekranowy obraz prowadzącej, każdy slajd, istotna zmiana obrazu i rozmowa z osobą uczestniczącą mają osobny nagłówek.</w:t>
      </w:r>
    </w:p>
    <w:p>
      <w:pPr>
        <w:pStyle w:val="ListBullet"/>
        <w:numPr>
          <w:ilvl w:val="0"/>
          <w:numId w:val="1"/>
        </w:numPr>
      </w:pPr>
      <w:r>
        <w:rPr>
          <w:rFonts w:ascii="Arial" w:hAnsi="Arial" w:eastAsia="Arial" w:cs="Arial"/>
          <w:lang w:val="pl-PL"/>
        </w:rPr>
        <w:t>Znaczniki czasu wskazują moment pojawienia się danego elementu lub zmianę osoby widocznej na ekranie.</w:t>
      </w:r>
    </w:p>
    <w:p>
      <w:pPr>
        <w:pStyle w:val="ListBullet"/>
        <w:numPr>
          <w:ilvl w:val="0"/>
          <w:numId w:val="1"/>
        </w:numPr>
      </w:pPr>
      <w:r>
        <w:rPr>
          <w:rFonts w:ascii="Arial" w:hAnsi="Arial" w:eastAsia="Arial" w:cs="Arial"/>
          <w:lang w:val="pl-PL"/>
        </w:rPr>
        <w:t>Sekcje „Opis wizualny planszy”, „Opis wizualny slajdu” i „Opis wizualny obrazu” zawierają pełne opisy treści, układu i istotnych elementów wizualnych.</w:t>
      </w:r>
    </w:p>
    <w:p>
      <w:pPr>
        <w:pStyle w:val="Heading1"/>
      </w:pPr>
      <w:r>
        <w:rPr>
          <w:rFonts w:ascii="Arial" w:hAnsi="Arial" w:eastAsia="Arial" w:cs="Arial"/>
          <w:lang w:val="pl-PL"/>
        </w:rPr>
        <w:t>Opis wizualny całego nagrania</w:t>
      </w:r>
    </w:p>
    <w:p>
      <w:pPr/>
      <w:r>
        <w:rPr>
          <w:rFonts w:ascii="Arial" w:hAnsi="Arial" w:eastAsia="Arial" w:cs="Arial"/>
          <w:lang w:val="pl-PL"/>
        </w:rPr>
        <w:t>Nagranie rozpoczyna żółta plansza otwierająca, która wypełnia cały ekran. Po kilku sekundach na całym ekranie pojawia się obraz Karoliny Pluty z kamery internetowej. Po rozpoczęciu prezentacji slajdy zajmują większą część lewej strony ekranu, a po prawej widoczne jest mniejsze okno wideo z prowadzącą. Całość jest osadzona na czarnym tle. Prezentacja wykorzystuje przede wszystkim bardzo jasne różowo-lawendowe tło, czarny tekst oraz fotografie. W nagranej części webinaru pokazano 10 slajdów prezentacji. Po zakończeniu prezentacji na chwilę pojawia się widok programu prezentacyjnego z miniaturami slajdów. Następnie nagranie przechodzi do pełnoekranowych obrazów z kamer. Podczas rozmowy Karoliny Pluty z Krzyśkiem Rakowskim obraz przełącza się między osobami mówiącymi.</w:t>
      </w:r>
    </w:p>
    <w:p>
      <w:pPr>
        <w:pStyle w:val="Heading1"/>
      </w:pPr>
      <w:r>
        <w:rPr>
          <w:rFonts w:ascii="Arial" w:hAnsi="Arial" w:eastAsia="Arial" w:cs="Arial"/>
          <w:lang w:val="pl-PL"/>
        </w:rPr>
        <w:t>Plansza otwierająca i slajdy webinaru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Plansza otwierająca</w:t>
      </w:r>
    </w:p>
    <w:p>
      <w:pPr>
        <w:keepNext/>
      </w:pPr>
      <w:r>
        <w:rPr>
          <w:rFonts w:ascii="Arial" w:hAnsi="Arial" w:eastAsia="Arial" w:cs="Arial"/>
          <w:lang w:val="pl-PL"/>
        </w:rPr>
        <w:t>[00:00] Plansza otwierająca</w:t>
      </w:r>
    </w:p>
    <w:p>
      <w:pPr>
        <w:pStyle w:val="Heading3"/>
      </w:pPr>
      <w:r>
        <w:rPr>
          <w:rFonts w:ascii="Arial" w:hAnsi="Arial" w:eastAsia="Arial" w:cs="Arial"/>
          <w:lang w:val="pl-PL"/>
        </w:rPr>
        <w:t>Opis wizualny planszy</w:t>
      </w:r>
    </w:p>
    <w:p>
      <w:pPr/>
      <w:r>
        <w:rPr>
          <w:rFonts w:ascii="Arial" w:hAnsi="Arial" w:eastAsia="Arial" w:cs="Arial"/>
          <w:lang w:val="pl-PL"/>
        </w:rPr>
        <w:t>Plansza ma żółte tło. U góry, na całą szerokość, widnieje czarny napis „SLOT - GENERATOR ODPORNOŚCI”; słowo „SLOT” jest zapisane kursywą w półprzezroczystym prostokątnym polu. Po lewej znajduje się biały prostokąt z tytułem zapisanym wielkimi literami: „ODPOCZYNEK JAKO KOMPETENCJA I ZAPOBIEGANIE WYPALENIU W ZARZĄDZANIU ZESPOŁEM”. Po prawej, w dużym prostokątnym oknie, widoczna jest Karolina Pluta w kadrze z kamery internetowej. Pod oknem znajduje się czarny prostokąt z żółtym napisem: „Prowadzący: Karolina Pluta”. W lewym dolnym rogu umieszczono czarne logo Stowarzyszenia Lokalnych Ośrodków Twórczych SLOT. W prawym dolnym rogu znajdują się logotypy Ministerstwa Kultury i Dziedzictwa Narodowego oraz Narodowego Centrum Kultury z oznaczeniem „75”, a pod nimi informacja o dofinansowaniu ze środków Ministra Kultury i Dziedzictwa Narodowego w ramach programu Narodowego Centrum Kultury Kultura - Interwencje. Edycja 2026.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Pełnoekranowy obraz prowadzącej</w:t>
      </w:r>
    </w:p>
    <w:p>
      <w:pPr>
        <w:keepNext/>
      </w:pPr>
      <w:r>
        <w:rPr>
          <w:rFonts w:ascii="Arial" w:hAnsi="Arial" w:eastAsia="Arial" w:cs="Arial"/>
          <w:lang w:val="pl-PL"/>
        </w:rPr>
        <w:t>[00:05] Zmiana obrazu</w:t>
      </w:r>
    </w:p>
    <w:p>
      <w:pPr>
        <w:pStyle w:val="Heading3"/>
      </w:pPr>
      <w:r>
        <w:rPr>
          <w:rFonts w:ascii="Arial" w:hAnsi="Arial" w:eastAsia="Arial" w:cs="Arial"/>
          <w:lang w:val="pl-PL"/>
        </w:rPr>
        <w:t>Opis wizualny obrazu</w:t>
      </w:r>
    </w:p>
    <w:p>
      <w:pPr/>
      <w:r>
        <w:rPr>
          <w:rFonts w:ascii="Arial" w:hAnsi="Arial" w:eastAsia="Arial" w:cs="Arial"/>
          <w:lang w:val="pl-PL"/>
        </w:rPr>
        <w:t>Pełnoekranowy obraz z kamery internetowej. Karolina Pluta jest pokazana w zbliżeniu, od ramion w górę. Za nią widoczne jest jasne wnętrze; po prawej stronie kadru stoi regał z książkami i rośliną. W lewym dolnym rogu obrazu znajduje się ciemny, półprzezroczysty prostokąt z białym napisem „Karolina Pluta”.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1. Odpoczynek jako kompetencja i zapobieganie wypaleniu w zarządzaniu zespołem</w:t>
      </w:r>
    </w:p>
    <w:p>
      <w:pPr>
        <w:keepNext/>
      </w:pPr>
      <w:r>
        <w:rPr>
          <w:rFonts w:ascii="Arial" w:hAnsi="Arial" w:eastAsia="Arial" w:cs="Arial"/>
          <w:lang w:val="pl-PL"/>
        </w:rPr>
        <w:t>[01:01] Zmiana slajdu</w:t>
      </w:r>
    </w:p>
    <w:p>
      <w:pPr>
        <w:pStyle w:val="Heading3"/>
      </w:pPr>
      <w:r>
        <w:rPr>
          <w:rFonts w:ascii="Arial" w:hAnsi="Arial" w:eastAsia="Arial" w:cs="Arial"/>
          <w:lang w:val="pl-PL"/>
        </w:rPr>
        <w:t>Opis wizualny slajdu</w:t>
      </w:r>
    </w:p>
    <w:p>
      <w:pPr/>
      <w:r>
        <w:rPr>
          <w:rFonts w:ascii="Arial" w:hAnsi="Arial" w:eastAsia="Arial" w:cs="Arial"/>
          <w:lang w:val="pl-PL"/>
        </w:rPr>
        <w:t>Slajd na bardzo jasnym różowo-lawendowym tle. W lewej części, mniej więcej w połowie wysokości, dużym czarnym pogrubionym tekstem zapisano: „Odpoczynek jako kompetencja i zapobieganie wypaleniu w zarządzaniu zespołem.” Niżej znajduje się data „25.06.2026” oraz nazwisko „Karolina Pluta”. Przy dolnej krawędzi, bliżej środka, umieszczono czarne logo SLOT ART FESTIVAL. Po prawej stronie u dołu znajduje się biały prostokąt z logotypami Ministerstwa Kultury i Dziedzictwa Narodowego, oznaczeniem „75” i logotypem Narodowego Centrum Kultury oraz z drobnym tekstem dotyczącym dofinansowania.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2. Dlaczego śpimy, a nadal czujemy zmęczenie?</w:t>
      </w:r>
    </w:p>
    <w:p>
      <w:pPr>
        <w:keepNext/>
      </w:pPr>
      <w:r>
        <w:rPr>
          <w:rFonts w:ascii="Arial" w:hAnsi="Arial" w:eastAsia="Arial" w:cs="Arial"/>
          <w:lang w:val="pl-PL"/>
        </w:rPr>
        <w:t>[01:32] Zmiana slajdu</w:t>
      </w:r>
    </w:p>
    <w:p>
      <w:pPr>
        <w:pStyle w:val="Heading3"/>
      </w:pPr>
      <w:r>
        <w:rPr>
          <w:rFonts w:ascii="Arial" w:hAnsi="Arial" w:eastAsia="Arial" w:cs="Arial"/>
          <w:lang w:val="pl-PL"/>
        </w:rPr>
        <w:t>Opis wizualny slajdu</w:t>
      </w:r>
    </w:p>
    <w:p>
      <w:pPr/>
      <w:r>
        <w:rPr>
          <w:rFonts w:ascii="Arial" w:hAnsi="Arial" w:eastAsia="Arial" w:cs="Arial"/>
          <w:lang w:val="pl-PL"/>
        </w:rPr>
        <w:t>Slajd jest podzielony pionowo na dwie części. Lewa część ma bardzo jasne różowo-lawendowe tło. Dużym czarnym pogrubionym tekstem zapisano tam pytanie: „Dlaczego śpimy, a nadal czujemy zmęczenie?”. Prawą połowę zajmuje fotografia jasnego, niewielkiego psa leżącego zwiniętego na okrągłym, puszystym, szarym legowisku. Pies ma czerwone szelki. Obok legowiska widoczna jest drewniana podłoga.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3. Festiwal = intensywność</w:t>
      </w:r>
    </w:p>
    <w:p>
      <w:pPr>
        <w:keepNext/>
      </w:pPr>
      <w:r>
        <w:rPr>
          <w:rFonts w:ascii="Arial" w:hAnsi="Arial" w:eastAsia="Arial" w:cs="Arial"/>
          <w:lang w:val="pl-PL"/>
        </w:rPr>
        <w:t>[03:56] Zmiana slajdu</w:t>
      </w:r>
    </w:p>
    <w:p>
      <w:pPr>
        <w:pStyle w:val="Heading3"/>
      </w:pPr>
      <w:r>
        <w:rPr>
          <w:rFonts w:ascii="Arial" w:hAnsi="Arial" w:eastAsia="Arial" w:cs="Arial"/>
          <w:lang w:val="pl-PL"/>
        </w:rPr>
        <w:t>Opis wizualny slajdu</w:t>
      </w:r>
    </w:p>
    <w:p>
      <w:pPr/>
      <w:r>
        <w:rPr>
          <w:rFonts w:ascii="Arial" w:hAnsi="Arial" w:eastAsia="Arial" w:cs="Arial"/>
          <w:lang w:val="pl-PL"/>
        </w:rPr>
        <w:t>Slajd jest podzielony pionowo na dwie części. Po lewej, na bardzo jasnym różowo-lawendowym tle, dużym czarnym pogrubionym tekstem zapisano: „Festiwal = intensywność”. Prawą część zajmuje fotografia plenerowa. Na trawie, na kocach i matach, siedzi liczna grupa osób. W tle widoczne są kolejne osoby, namioty i zabudowania festiwalowe oraz drzewa.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4. Mapa przeciążeń - co się na nią składa</w:t>
      </w:r>
    </w:p>
    <w:p>
      <w:pPr>
        <w:keepNext/>
      </w:pPr>
      <w:r>
        <w:rPr>
          <w:rFonts w:ascii="Arial" w:hAnsi="Arial" w:eastAsia="Arial" w:cs="Arial"/>
          <w:lang w:val="pl-PL"/>
        </w:rPr>
        <w:t>[05:49] Zmiana slajdu</w:t>
      </w:r>
    </w:p>
    <w:p>
      <w:pPr>
        <w:pStyle w:val="Heading3"/>
      </w:pPr>
      <w:r>
        <w:rPr>
          <w:rFonts w:ascii="Arial" w:hAnsi="Arial" w:eastAsia="Arial" w:cs="Arial"/>
          <w:lang w:val="pl-PL"/>
        </w:rPr>
        <w:t>Opis wizualny slajdu</w:t>
      </w:r>
    </w:p>
    <w:p>
      <w:pPr/>
      <w:r>
        <w:rPr>
          <w:rFonts w:ascii="Arial" w:hAnsi="Arial" w:eastAsia="Arial" w:cs="Arial"/>
          <w:lang w:val="pl-PL"/>
        </w:rPr>
        <w:t>Slajd tekstowy na bardzo jasnym różowo-lawendowym tle. U góry po lewej znajduje się nagłówek: „Mapa przeciążeń - co się na nią składa:”. Poniżej umieszczono pionową listę punktowaną: „decyzje,”; „ludzie,”; „hałas/bodźce,”; „odpowiedzialność,”; „czas,”; „konflikty,”; „ciało,”; „nieprzewidywalność.”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5. Zmęczenie czy wypalenie?</w:t>
      </w:r>
    </w:p>
    <w:p>
      <w:pPr>
        <w:keepNext/>
      </w:pPr>
      <w:r>
        <w:rPr>
          <w:rFonts w:ascii="Arial" w:hAnsi="Arial" w:eastAsia="Arial" w:cs="Arial"/>
          <w:lang w:val="pl-PL"/>
        </w:rPr>
        <w:t>[07:24] Zmiana slajdu</w:t>
      </w:r>
    </w:p>
    <w:p>
      <w:pPr>
        <w:pStyle w:val="Heading3"/>
      </w:pPr>
      <w:r>
        <w:rPr>
          <w:rFonts w:ascii="Arial" w:hAnsi="Arial" w:eastAsia="Arial" w:cs="Arial"/>
          <w:lang w:val="pl-PL"/>
        </w:rPr>
        <w:t>Opis wizualny slajdu</w:t>
      </w:r>
    </w:p>
    <w:p>
      <w:pPr/>
      <w:r>
        <w:rPr>
          <w:rFonts w:ascii="Arial" w:hAnsi="Arial" w:eastAsia="Arial" w:cs="Arial"/>
          <w:lang w:val="pl-PL"/>
        </w:rPr>
        <w:t>Slajd na bardzo jasnym różowo-lawendowym tle. U góry po lewej znajduje się tytuł: „Zmęczenie czy wypalenie?”. Niżej, na środku slajdu, znajduje się tabela z dwiema kolumnami. Nagłówki kolumn to „ZMĘCZENIE” i „WYPALENIE”. Pierwszy wiersz: „Pojawia się po wysiłku” oraz „Długotrwałe przeciążenie”. Drugi wiersz: „Zmniejsza się po regeneracji” oraz „Regeneracja nie działa”. Trzeci wiersz: „Nasze relcje i poczucie sensu zostają na swoim miejscu” oraz „Pojawia się dystans, cynizm, poczucie braku skuteczności”.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6. Wymiary wypalenia wg Christiny Maslach</w:t>
      </w:r>
    </w:p>
    <w:p>
      <w:pPr>
        <w:keepNext/>
      </w:pPr>
      <w:r>
        <w:rPr>
          <w:rFonts w:ascii="Arial" w:hAnsi="Arial" w:eastAsia="Arial" w:cs="Arial"/>
          <w:lang w:val="pl-PL"/>
        </w:rPr>
        <w:t>[09:58] Zmiana slajdu</w:t>
      </w:r>
    </w:p>
    <w:p>
      <w:pPr>
        <w:pStyle w:val="Heading3"/>
      </w:pPr>
      <w:r>
        <w:rPr>
          <w:rFonts w:ascii="Arial" w:hAnsi="Arial" w:eastAsia="Arial" w:cs="Arial"/>
          <w:lang w:val="pl-PL"/>
        </w:rPr>
        <w:t>Opis wizualny slajdu</w:t>
      </w:r>
    </w:p>
    <w:p>
      <w:pPr/>
      <w:r>
        <w:rPr>
          <w:rFonts w:ascii="Arial" w:hAnsi="Arial" w:eastAsia="Arial" w:cs="Arial"/>
          <w:lang w:val="pl-PL"/>
        </w:rPr>
        <w:t>Slajd tekstowy na bardzo jasnym różowo-lawendowym tle. U góry po lewej znajduje się tytuł: „Wymiary wypalenia wg Christiny Maslach”. Poniżej znajdują się trzy bloki tekstu. Pierwszy rozpoczyna pogrubione hasło „Wyczerpanie — fizyczne i emocjonalne”, a pod nim zapisano: „Zmęczenie, które pojawia się, gdy martwimy się o coś za dużo i zbyt długo”. Drugi blok rozpoczyna pogrubione hasło „Cynizm — zanik empatii, troski i współczucia”. Trzeci blok rozpoczyna pogrubione hasło „Poczucie braku efektywności — poczucie nieskuteczności”. Niżej zapisano: „Spadek motywacji i zaangażowania, przekonanie, że nic co robimy nie ma większego sensu.”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7. Rodzaj zmęczenia podpowiada rodzaj odpoczynku</w:t>
      </w:r>
    </w:p>
    <w:p>
      <w:pPr>
        <w:keepNext/>
      </w:pPr>
      <w:r>
        <w:rPr>
          <w:rFonts w:ascii="Arial" w:hAnsi="Arial" w:eastAsia="Arial" w:cs="Arial"/>
          <w:lang w:val="pl-PL"/>
        </w:rPr>
        <w:t>[15:15] Zmiana slajdu</w:t>
      </w:r>
    </w:p>
    <w:p>
      <w:pPr>
        <w:pStyle w:val="Heading3"/>
      </w:pPr>
      <w:r>
        <w:rPr>
          <w:rFonts w:ascii="Arial" w:hAnsi="Arial" w:eastAsia="Arial" w:cs="Arial"/>
          <w:lang w:val="pl-PL"/>
        </w:rPr>
        <w:t>Opis wizualny slajdu</w:t>
      </w:r>
    </w:p>
    <w:p>
      <w:pPr/>
      <w:r>
        <w:rPr>
          <w:rFonts w:ascii="Arial" w:hAnsi="Arial" w:eastAsia="Arial" w:cs="Arial"/>
          <w:lang w:val="pl-PL"/>
        </w:rPr>
        <w:t>Slajd jest podzielony pionowo na dwie części. Po lewej, na bardzo jasnym różowo-lawendowym tle, dużym czarnym pogrubionym tekstem zapisano: „Rodzaj zmęczenia podpowiada rodzaj odpoczynku.” Prawą część zajmuje fotografia plenerowa: błękitne niebo z białymi chmurami, zielone korony drzew oraz fragment zabytkowej budowli z dwiema wieżami zwieńczonymi zielonymi hełmami.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8. Przykłady dopasowania odpoczynku do przeciążenia</w:t>
      </w:r>
    </w:p>
    <w:p>
      <w:pPr>
        <w:keepNext/>
      </w:pPr>
      <w:r>
        <w:rPr>
          <w:rFonts w:ascii="Arial" w:hAnsi="Arial" w:eastAsia="Arial" w:cs="Arial"/>
          <w:lang w:val="pl-PL"/>
        </w:rPr>
        <w:t>[16:45] Zmiana slajdu</w:t>
      </w:r>
    </w:p>
    <w:p>
      <w:pPr>
        <w:pStyle w:val="Heading3"/>
      </w:pPr>
      <w:r>
        <w:rPr>
          <w:rFonts w:ascii="Arial" w:hAnsi="Arial" w:eastAsia="Arial" w:cs="Arial"/>
          <w:lang w:val="pl-PL"/>
        </w:rPr>
        <w:t>Opis wizualny slajdu</w:t>
      </w:r>
    </w:p>
    <w:p>
      <w:pPr/>
      <w:r>
        <w:rPr>
          <w:rFonts w:ascii="Arial" w:hAnsi="Arial" w:eastAsia="Arial" w:cs="Arial"/>
          <w:lang w:val="pl-PL"/>
        </w:rPr>
        <w:t>Slajd tekstowy na bardzo jasnym różowo-lawendowym tle. W środkowej części znajduje się lista trzech zależności zapisanych z użyciem strzałek: „za dużo decyzji do podjęcia → odpoczynek mentalny,”; „za dużo hałasu i ludzi → odpoczynek sensoryczny/społeczny,”; „za dużo odpowiedzialności i utrata poczucia sensu → odpoczynek emocjonalny/sensotwórczy.”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9. 7 rodzajów odpoczynku</w:t>
      </w:r>
    </w:p>
    <w:p>
      <w:pPr>
        <w:keepNext/>
      </w:pPr>
      <w:r>
        <w:rPr>
          <w:rFonts w:ascii="Arial" w:hAnsi="Arial" w:eastAsia="Arial" w:cs="Arial"/>
          <w:lang w:val="pl-PL"/>
        </w:rPr>
        <w:t>[19:07] Zmiana slajdu</w:t>
      </w:r>
    </w:p>
    <w:p>
      <w:pPr>
        <w:pStyle w:val="Heading3"/>
      </w:pPr>
      <w:r>
        <w:rPr>
          <w:rFonts w:ascii="Arial" w:hAnsi="Arial" w:eastAsia="Arial" w:cs="Arial"/>
          <w:lang w:val="pl-PL"/>
        </w:rPr>
        <w:t>Opis wizualny slajdu</w:t>
      </w:r>
    </w:p>
    <w:p>
      <w:pPr/>
      <w:r>
        <w:rPr>
          <w:rFonts w:ascii="Arial" w:hAnsi="Arial" w:eastAsia="Arial" w:cs="Arial"/>
          <w:lang w:val="pl-PL"/>
        </w:rPr>
        <w:t>Slajd tekstowy na bardzo jasnym różowo-lawendowym tle. U góry po lewej znajduje się tytuł „7 rodzajów odpoczynku”. Poniżej umieszczono listę punktowaną. Nazwy rodzajów odpoczynku są pogrubione. Tekst listy: „fizyczny - zadbaj o ciało”; „mentalny - zadbaj o mysłi”; „sensoryczny - zadbaj o bodźce”; „emocjonalny - zadbaj o emocje”; „społeczny - zadbaj o relacje”; „kreatywny - zadbaj o wyobraźnię, zachwyć się!”; „duchowy/sensotwórczy - zadbaj o poczucie sensu.”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Slajd 10. Odpoczynek jako kompetencja liderska</w:t>
      </w:r>
    </w:p>
    <w:p>
      <w:pPr>
        <w:keepNext/>
      </w:pPr>
      <w:r>
        <w:rPr>
          <w:rFonts w:ascii="Arial" w:hAnsi="Arial" w:eastAsia="Arial" w:cs="Arial"/>
          <w:lang w:val="pl-PL"/>
        </w:rPr>
        <w:t>[23:30] Zmiana slajdu</w:t>
      </w:r>
    </w:p>
    <w:p>
      <w:pPr>
        <w:pStyle w:val="Heading3"/>
      </w:pPr>
      <w:r>
        <w:rPr>
          <w:rFonts w:ascii="Arial" w:hAnsi="Arial" w:eastAsia="Arial" w:cs="Arial"/>
          <w:lang w:val="pl-PL"/>
        </w:rPr>
        <w:t>Opis wizualny slajdu</w:t>
      </w:r>
    </w:p>
    <w:p>
      <w:pPr/>
      <w:r>
        <w:rPr>
          <w:rFonts w:ascii="Arial" w:hAnsi="Arial" w:eastAsia="Arial" w:cs="Arial"/>
          <w:lang w:val="pl-PL"/>
        </w:rPr>
        <w:t>Slajd tekstowy na bardzo jasnym różowo-lawendowym tle. U góry po lewej znajduje się tytuł „Odpoczynek jako kompetencja liderska”. Poniżej, w czterech osobnych wierszach, zapisano: „Samoobserwacja - umiem zauważyć co się ze mną dzieje”; „Nazywam deficyt - wiem czego potrzebuję”; „Dbam o regenerację - praktykuję odpoczynek”; „Odpowiedzialność liderska - ustalam z zespołem zasady pracy i odpoczynku”.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Zmiana obrazu po zakończeniu prezentacji</w:t>
      </w:r>
    </w:p>
    <w:p>
      <w:pPr>
        <w:keepNext/>
      </w:pPr>
      <w:r>
        <w:t>[29:36] Zmiana obrazu</w:t>
      </w:r>
    </w:p>
    <w:p>
      <w:pPr>
        <w:pStyle w:val="Heading3"/>
      </w:pPr>
      <w:r>
        <w:rPr>
          <w:rFonts w:ascii="Arial" w:hAnsi="Arial" w:eastAsia="Arial" w:cs="Arial"/>
          <w:lang w:val="pl-PL"/>
        </w:rPr>
        <w:t>Opis wizualny obrazu</w:t>
      </w:r>
    </w:p>
    <w:p>
      <w:pPr/>
      <w:r>
        <w:rPr>
          <w:rFonts w:ascii="Arial" w:hAnsi="Arial" w:eastAsia="Arial" w:cs="Arial"/>
          <w:lang w:val="pl-PL"/>
        </w:rPr>
        <w:t>Na ekranie na chwilę pojawia się widok programu prezentacyjnego z miniaturami slajdów.</w:t>
      </w:r>
    </w:p>
    <w:p>
      <w:pPr>
        <w:pStyle w:val="Heading2"/>
      </w:pPr>
      <w:r>
        <w:rPr>
          <w:rFonts w:ascii="Arial" w:hAnsi="Arial" w:eastAsia="Arial" w:cs="Arial"/>
          <w:lang w:val="pl-PL"/>
        </w:rPr>
        <w:t>Rozmowa prowadzącej z osobą uczestniczącą</w:t>
      </w:r>
    </w:p>
    <w:p>
      <w:pPr>
        <w:keepNext/>
      </w:pPr>
      <w:r>
        <w:t>[29:44] Zmiana obrazu</w:t>
      </w:r>
    </w:p>
    <w:p>
      <w:pPr>
        <w:pStyle w:val="Heading3"/>
      </w:pPr>
      <w:r>
        <w:rPr>
          <w:rFonts w:ascii="Arial" w:hAnsi="Arial" w:eastAsia="Arial" w:cs="Arial"/>
          <w:lang w:val="pl-PL"/>
        </w:rPr>
        <w:t>Opis wizualny obrazu</w:t>
      </w:r>
    </w:p>
    <w:p>
      <w:pPr/>
      <w:r>
        <w:rPr>
          <w:rFonts w:ascii="Arial" w:hAnsi="Arial" w:eastAsia="Arial" w:cs="Arial"/>
          <w:lang w:val="pl-PL"/>
        </w:rPr>
        <w:t>Rozpoczyna się rozmowa Karoliny Pluty z Krzyśkiem Rakowskim. W trakcie rozmowy obraz przełącza się między pełnoekranowym widokiem Karoliny Pluty i Krzyśka Rakowskiego. W lewym dolnym rogu ujęć znajduje się ciemny, półprzezroczysty prostokąt z imieniem i nazwiskiem osoby widocznej na ekranie.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134" w:top="1134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 w:cs="Arial" w:eastAsia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after="140" w:line="276" w:lineRule="auto"/>
      </w:pPr>
    </w:pPrDefault>
  </w:docDefaults>
  <w:style w:type="table" w:styleId="TableNormal" w:default="1">
    <w:name w:val="TableNormal"/>
    <w:rPr>
      <w:rFonts w:ascii="Arial" w:hAnsi="Arial" w:eastAsia="Arial" w:cs="Arial"/>
    </w:rPr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Arial" w:hAnsi="Arial" w:eastAsia="Arial" w:cs="Arial"/>
    </w:rPr>
  </w:style>
  <w:style w:type="paragraph" w:styleId="Heading1">
    <w:name w:val="heading 1"/>
    <w:basedOn w:val="Normal"/>
    <w:next w:val="Normal"/>
    <w:pPr>
      <w:keepNext w:val="1"/>
      <w:keepLines w:val="1"/>
      <w:spacing w:after="140" w:before="360" w:line="252.00000000000003" w:lineRule="auto"/>
      <w:outlineLvl w:val="0"/>
    </w:pPr>
    <w:rPr>
      <w:rFonts w:ascii="Arial" w:cs="Arial" w:eastAsia="Arial" w:hAnsi="Arial"/>
      <w:b w:val="1"/>
      <w:bCs w:val="1"/>
      <w:color w:val="243f5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2.00000000000003" w:lineRule="auto"/>
      <w:outlineLvl w:val="1"/>
    </w:pPr>
    <w:rPr>
      <w:rFonts w:ascii="Arial" w:cs="Arial" w:eastAsia="Arial" w:hAnsi="Arial"/>
      <w:b w:val="1"/>
      <w:bCs w:val="1"/>
      <w:color w:val="243f5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2.00000000000003" w:lineRule="auto"/>
      <w:outlineLvl w:val="2"/>
    </w:pPr>
    <w:rPr>
      <w:rFonts w:ascii="Arial" w:cs="Arial" w:eastAsia="Arial" w:hAnsi="Arial"/>
      <w:b w:val="1"/>
      <w:bCs w:val="1"/>
      <w:color w:val="243f5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  <w:outlineLvl w:val="3"/>
    </w:pPr>
    <w:rPr>
      <w:rFonts w:ascii="Arial" w:cs="Arial" w:eastAsia="Arial" w:hAnsi="Arial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  <w:outlineLvl w:val="4"/>
    </w:pPr>
    <w:rPr>
      <w:rFonts w:ascii="Arial" w:cs="Arial" w:eastAsia="Arial" w:hAnsi="Arial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  <w:outlineLvl w:val="5"/>
    </w:pPr>
    <w:rPr>
      <w:rFonts w:ascii="Arial" w:cs="Arial" w:eastAsia="Arial" w:hAnsi="Arial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before="0" w:line="240" w:lineRule="auto"/>
    </w:pPr>
    <w:rPr>
      <w:rFonts w:ascii="Arial" w:cs="Arial" w:eastAsia="Arial" w:hAnsi="Arial"/>
      <w:b w:val="0"/>
      <w:bCs w:val="0"/>
      <w:color w:val="243f50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cs="Arial" w:eastAsia="Arial" w:hAnsi="Arial"/>
    </w:rPr>
  </w:style>
  <w:style w:type="character" w:styleId="HeaderChar" w:customStyle="1">
    <w:name w:val="Header Char"/>
    <w:basedOn w:val="DefaultParagraphFont"/>
    <w:link w:val="Header"/>
    <w:uiPriority w:val="99"/>
    <w:rsid w:val="00E618BF"/>
    <w:rPr>
      <w:rFonts w:ascii="Arial" w:cs="Arial" w:eastAsia="Arial" w:hAnsi="Arial"/>
    </w:rPr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cs="Arial" w:eastAsia="Arial" w:hAnsi="Arial"/>
    </w:rPr>
  </w:style>
  <w:style w:type="character" w:styleId="FooterChar" w:customStyle="1">
    <w:name w:val="Footer Char"/>
    <w:basedOn w:val="DefaultParagraphFont"/>
    <w:link w:val="Footer"/>
    <w:uiPriority w:val="99"/>
    <w:rsid w:val="00E618BF"/>
    <w:rPr>
      <w:rFonts w:ascii="Arial" w:cs="Arial" w:eastAsia="Arial" w:hAnsi="Arial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="Arial" w:cs="Arial" w:eastAsia="Arial" w:hAnsi="Arial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="Arial" w:cs="Arial" w:eastAsia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="Arial" w:cs="Arial" w:eastAsia="Arial" w:hAnsi="Arial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  <w:rPr>
      <w:rFonts w:ascii="Arial" w:cs="Arial" w:eastAsia="Arial" w:hAnsi="Arial"/>
    </w:rPr>
  </w:style>
  <w:style w:type="table" w:styleId="TableNormal" w:default="1">
    <w:name w:val="Normal Table"/>
    <w:uiPriority w:val="99"/>
    <w:semiHidden w:val="1"/>
    <w:unhideWhenUsed w:val="1"/>
    <w:rPr>
      <w:rFonts w:ascii="Arial" w:cs="Arial" w:eastAsia="Arial" w:hAnsi="Arial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  <w:rPr>
      <w:rFonts w:ascii="Arial" w:cs="Arial" w:eastAsia="Arial" w:hAnsi="Arial"/>
    </w:r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="Arial" w:cs="Arial" w:eastAsia="Arial" w:hAnsi="Arial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="Arial" w:cs="Arial" w:eastAsia="Arial" w:hAnsi="Arial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="Arial" w:cs="Arial" w:eastAsia="Arial" w:hAnsi="Arial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="Arial" w:cs="Arial" w:eastAsia="Arial" w:hAnsi="Arial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="Arial" w:cs="Arial" w:eastAsia="Arial" w:hAnsi="Arial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  <w:rPr>
      <w:rFonts w:ascii="Arial" w:cs="Arial" w:eastAsia="Arial" w:hAnsi="Arial"/>
    </w:r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  <w:rPr>
      <w:rFonts w:ascii="Arial" w:cs="Arial" w:eastAsia="Arial" w:hAnsi="Arial"/>
    </w:rPr>
  </w:style>
  <w:style w:type="character" w:styleId="BodyTextChar" w:customStyle="1">
    <w:name w:val="Body Text Char"/>
    <w:basedOn w:val="DefaultParagraphFont"/>
    <w:link w:val="BodyText"/>
    <w:uiPriority w:val="99"/>
    <w:rsid w:val="00AA1D8D"/>
    <w:rPr>
      <w:rFonts w:ascii="Arial" w:cs="Arial" w:eastAsia="Arial" w:hAnsi="Arial"/>
    </w:rPr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  <w:rPr>
      <w:rFonts w:ascii="Arial" w:cs="Arial" w:eastAsia="Arial" w:hAnsi="Arial"/>
    </w:rPr>
  </w:style>
  <w:style w:type="character" w:styleId="BodyText2Char" w:customStyle="1">
    <w:name w:val="Body Text 2 Char"/>
    <w:basedOn w:val="DefaultParagraphFont"/>
    <w:link w:val="BodyText2"/>
    <w:uiPriority w:val="99"/>
    <w:rsid w:val="00AA1D8D"/>
    <w:rPr>
      <w:rFonts w:ascii="Arial" w:cs="Arial" w:eastAsia="Arial" w:hAnsi="Arial"/>
    </w:rPr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rFonts w:ascii="Arial" w:cs="Arial" w:eastAsia="Arial" w:hAnsi="Arial"/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rFonts w:ascii="Arial" w:cs="Arial" w:eastAsia="Arial" w:hAnsi="Arial"/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  <w:rPr>
      <w:rFonts w:ascii="Arial" w:cs="Arial" w:eastAsia="Arial" w:hAnsi="Arial"/>
    </w:r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  <w:rPr>
      <w:rFonts w:ascii="Arial" w:cs="Arial" w:eastAsia="Arial" w:hAnsi="Arial"/>
    </w:r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  <w:rPr>
      <w:rFonts w:ascii="Arial" w:cs="Arial" w:eastAsia="Arial" w:hAnsi="Arial"/>
    </w:r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  <w:rPr>
      <w:rFonts w:ascii="Arial" w:cs="Arial" w:eastAsia="Arial" w:hAnsi="Arial"/>
    </w:r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  <w:rPr>
      <w:rFonts w:ascii="Arial" w:cs="Arial" w:eastAsia="Arial" w:hAnsi="Arial"/>
    </w:r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  <w:rPr>
      <w:rFonts w:ascii="Arial" w:cs="Arial" w:eastAsia="Arial" w:hAnsi="Arial"/>
    </w:r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  <w:rPr>
      <w:rFonts w:ascii="Arial" w:cs="Arial" w:eastAsia="Arial" w:hAnsi="Arial"/>
    </w:r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  <w:rPr>
      <w:rFonts w:ascii="Arial" w:cs="Arial" w:eastAsia="Arial" w:hAnsi="Arial"/>
    </w:r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  <w:rPr>
      <w:rFonts w:ascii="Arial" w:cs="Arial" w:eastAsia="Arial" w:hAnsi="Arial"/>
    </w:r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  <w:rPr>
      <w:rFonts w:ascii="Arial" w:cs="Arial" w:eastAsia="Arial" w:hAnsi="Arial"/>
    </w:r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  <w:rPr>
      <w:rFonts w:ascii="Arial" w:cs="Arial" w:eastAsia="Arial" w:hAnsi="Arial"/>
    </w:r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  <w:rPr>
      <w:rFonts w:ascii="Arial" w:cs="Arial" w:eastAsia="Arial" w:hAnsi="Arial"/>
    </w:r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cs="Arial" w:eastAsia="Arial" w:hAnsi="Arial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Arial" w:cs="Arial" w:eastAsia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rFonts w:ascii="Arial" w:cs="Arial" w:eastAsia="Arial" w:hAnsi="Arial"/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rFonts w:ascii="Arial" w:cs="Arial" w:eastAsia="Arial" w:hAnsi="Arial"/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="Arial" w:cs="Arial" w:eastAsia="Arial" w:hAnsi="Arial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="Arial" w:cs="Arial" w:eastAsia="Arial" w:hAnsi="Arial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="Arial" w:cs="Arial" w:eastAsia="Arial" w:hAnsi="Arial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="Arial" w:cs="Arial" w:eastAsia="Arial" w:hAnsi="Arial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="Arial" w:cs="Arial" w:eastAsia="Arial" w:hAnsi="Arial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="Arial" w:cs="Arial" w:eastAsia="Arial" w:hAnsi="Arial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rFonts w:ascii="Arial" w:cs="Arial" w:eastAsia="Arial" w:hAnsi="Arial"/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rFonts w:ascii="Arial" w:cs="Arial" w:eastAsia="Arial" w:hAnsi="Arial"/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rFonts w:ascii="Arial" w:cs="Arial" w:eastAsia="Arial" w:hAnsi="Arial"/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rFonts w:ascii="Arial" w:cs="Arial" w:eastAsia="Arial" w:hAnsi="Arial"/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rFonts w:ascii="Arial" w:cs="Arial" w:eastAsia="Arial" w:hAnsi="Arial"/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rFonts w:ascii="Arial" w:cs="Arial" w:eastAsia="Arial" w:hAnsi="Arial"/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rFonts w:ascii="Arial" w:cs="Arial" w:eastAsia="Arial" w:hAnsi="Arial"/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rFonts w:ascii="Arial" w:cs="Arial" w:eastAsia="Arial" w:hAnsi="Arial"/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rFonts w:ascii="Arial" w:cs="Arial" w:eastAsia="Arial" w:hAnsi="Arial"/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rFonts w:ascii="Arial" w:cs="Arial" w:eastAsia="Arial" w:hAnsi="Arial"/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  <w:rPr>
      <w:rFonts w:ascii="Arial" w:cs="Arial" w:eastAsia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cs="Arial" w:eastAsia="Arial" w:hAnsi="Arial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cs="Arial" w:eastAsia="Arial" w:hAnsi="Arial"/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cs="Arial" w:eastAsia="Arial" w:hAnsi="Arial"/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cs="Arial" w:eastAsia="Arial" w:hAnsi="Arial"/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cs="Arial" w:eastAsia="Arial" w:hAnsi="Arial"/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cs="Arial" w:eastAsia="Arial" w:hAnsi="Arial"/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cs="Arial" w:eastAsia="Arial" w:hAnsi="Arial"/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cs="Arial" w:eastAsia="Arial" w:hAnsi="Arial"/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cstheme="majorBidi" w:ascii="Arial" w:hAnsi="Arial" w:cs="Arial" w:eastAsia="Arial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cstheme="majorBidi" w:ascii="Arial" w:hAnsi="Arial" w:cs="Arial" w:eastAsia="Arial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cstheme="majorBidi" w:ascii="Arial" w:hAnsi="Arial" w:cs="Arial" w:eastAsia="Arial"/>
        <w:b w:val="1"/>
        <w:bCs w:val="1"/>
      </w:rPr>
    </w:tblStylePr>
    <w:tblStylePr w:type="lastCol">
      <w:rPr>
        <w:rFonts w:cstheme="majorBidi" w:ascii="Arial" w:hAnsi="Arial" w:cs="Arial" w:eastAsia="Arial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cstheme="majorBidi" w:ascii="Arial" w:hAnsi="Arial" w:cs="Arial" w:eastAsia="Arial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cstheme="majorBidi" w:ascii="Arial" w:hAnsi="Arial" w:cs="Arial" w:eastAsia="Arial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cstheme="majorBidi" w:ascii="Arial" w:hAnsi="Arial" w:cs="Arial" w:eastAsia="Arial"/>
        <w:b w:val="1"/>
        <w:bCs w:val="1"/>
      </w:rPr>
    </w:tblStylePr>
    <w:tblStylePr w:type="lastCol">
      <w:rPr>
        <w:rFonts w:cstheme="majorBidi" w:ascii="Arial" w:hAnsi="Arial" w:cs="Arial" w:eastAsia="Arial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cstheme="majorBidi" w:ascii="Arial" w:hAnsi="Arial" w:cs="Arial" w:eastAsia="Arial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cstheme="majorBidi" w:ascii="Arial" w:hAnsi="Arial" w:cs="Arial" w:eastAsia="Arial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cstheme="majorBidi" w:ascii="Arial" w:hAnsi="Arial" w:cs="Arial" w:eastAsia="Arial"/>
        <w:b w:val="1"/>
        <w:bCs w:val="1"/>
      </w:rPr>
    </w:tblStylePr>
    <w:tblStylePr w:type="lastCol">
      <w:rPr>
        <w:rFonts w:cstheme="majorBidi" w:ascii="Arial" w:hAnsi="Arial" w:cs="Arial" w:eastAsia="Arial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cstheme="majorBidi" w:ascii="Arial" w:hAnsi="Arial" w:cs="Arial" w:eastAsia="Arial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cstheme="majorBidi" w:ascii="Arial" w:hAnsi="Arial" w:cs="Arial" w:eastAsia="Arial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cstheme="majorBidi" w:ascii="Arial" w:hAnsi="Arial" w:cs="Arial" w:eastAsia="Arial"/>
        <w:b w:val="1"/>
        <w:bCs w:val="1"/>
      </w:rPr>
    </w:tblStylePr>
    <w:tblStylePr w:type="lastCol">
      <w:rPr>
        <w:rFonts w:cstheme="majorBidi" w:ascii="Arial" w:hAnsi="Arial" w:cs="Arial" w:eastAsia="Arial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cstheme="majorBidi" w:ascii="Arial" w:hAnsi="Arial" w:cs="Arial" w:eastAsia="Arial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cstheme="majorBidi" w:ascii="Arial" w:hAnsi="Arial" w:cs="Arial" w:eastAsia="Arial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cstheme="majorBidi" w:ascii="Arial" w:hAnsi="Arial" w:cs="Arial" w:eastAsia="Arial"/>
        <w:b w:val="1"/>
        <w:bCs w:val="1"/>
      </w:rPr>
    </w:tblStylePr>
    <w:tblStylePr w:type="lastCol">
      <w:rPr>
        <w:rFonts w:cstheme="majorBidi" w:ascii="Arial" w:hAnsi="Arial" w:cs="Arial" w:eastAsia="Arial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cstheme="majorBidi" w:ascii="Arial" w:hAnsi="Arial" w:cs="Arial" w:eastAsia="Arial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cstheme="majorBidi" w:ascii="Arial" w:hAnsi="Arial" w:cs="Arial" w:eastAsia="Arial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cstheme="majorBidi" w:ascii="Arial" w:hAnsi="Arial" w:cs="Arial" w:eastAsia="Arial"/>
        <w:b w:val="1"/>
        <w:bCs w:val="1"/>
      </w:rPr>
    </w:tblStylePr>
    <w:tblStylePr w:type="lastCol">
      <w:rPr>
        <w:rFonts w:cstheme="majorBidi" w:ascii="Arial" w:hAnsi="Arial" w:cs="Arial" w:eastAsia="Arial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cstheme="majorBidi" w:ascii="Arial" w:hAnsi="Arial" w:cs="Arial" w:eastAsia="Arial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cstheme="majorBidi" w:ascii="Arial" w:hAnsi="Arial" w:cs="Arial" w:eastAsia="Arial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cstheme="majorBidi" w:ascii="Arial" w:hAnsi="Arial" w:cs="Arial" w:eastAsia="Arial"/>
        <w:b w:val="1"/>
        <w:bCs w:val="1"/>
      </w:rPr>
    </w:tblStylePr>
    <w:tblStylePr w:type="lastCol">
      <w:rPr>
        <w:rFonts w:cstheme="majorBidi" w:ascii="Arial" w:hAnsi="Arial" w:cs="Arial" w:eastAsia="Arial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cstheme="majorBidi" w:ascii="Arial" w:hAnsi="Arial" w:cs="Arial" w:eastAsia="Arial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cstheme="majorBidi" w:ascii="Arial" w:hAnsi="Arial" w:cs="Arial" w:eastAsia="Arial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cstheme="majorBidi" w:ascii="Arial" w:hAnsi="Arial" w:cs="Arial" w:eastAsia="Arial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cstheme="majorBidi" w:ascii="Arial" w:hAnsi="Arial" w:cs="Arial" w:eastAsia="Arial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cstheme="majorBidi" w:ascii="Arial" w:hAnsi="Arial" w:cs="Arial" w:eastAsia="Arial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cstheme="majorBidi" w:ascii="Arial" w:hAnsi="Arial" w:cs="Arial" w:eastAsia="Arial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cstheme="majorBidi" w:ascii="Arial" w:hAnsi="Arial" w:cs="Arial" w:eastAsia="Arial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cs="Arial" w:eastAsia="Arial" w:hAnsi="Arial"/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cs="Arial" w:eastAsia="Arial" w:hAnsi="Arial"/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cs="Arial" w:eastAsia="Arial" w:hAnsi="Arial"/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cs="Arial" w:eastAsia="Arial" w:hAnsi="Arial"/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cs="Arial" w:eastAsia="Arial" w:hAnsi="Arial"/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cs="Arial" w:eastAsia="Arial" w:hAnsi="Arial"/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cs="Arial" w:eastAsia="Arial" w:hAnsi="Arial"/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cs="Arial" w:eastAsia="Arial" w:hAnsi="Arial"/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>
      <w:spacing w:after="240" w:before="0" w:line="276" w:lineRule="auto"/>
    </w:pPr>
    <w:rPr>
      <w:rFonts w:ascii="Arial" w:cs="Arial" w:eastAsia="Arial" w:hAnsi="Arial"/>
      <w:b w:val="0"/>
      <w:bCs w:val="0"/>
      <w:i w:val="0"/>
      <w:iCs w:val="1"/>
      <w:color w:val="243f50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o4mHAdulAaE4ayp/dTR/kTirww==">CgMxLjA4AHIhMW93aFphTW5Ya3A4RkxTU2E3WEFNR1RxX0tyYUU4NnJX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title>Odpoczynek jako kompetencja i zapobieganie wypaleniu w zarządzaniu zespołem: dokładne opisy wizualne slajdów</dc:title>
</cp:coreProperties>
</file>