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Fonts w:ascii="Arial" w:cs="Arial" w:eastAsia="Arial" w:hAnsi="Arial"/>
          <w:rtl w:val="0"/>
        </w:rPr>
        <w:t xml:space="preserve">Budowanie przestrzeni dla zespołu</w:t>
      </w:r>
      <w:r w:rsidDel="00000000" w:rsidR="00000000" w:rsidRPr="00000000">
        <w:rPr>
          <w:rtl w:val="0"/>
        </w:rPr>
      </w:r>
    </w:p>
    <w:p w:rsidR="00000000" w:rsidDel="00000000" w:rsidP="00000000" w:rsidRDefault="00000000" w:rsidRPr="00000000" w14:paraId="00000002">
      <w:pPr>
        <w:pStyle w:val="Subtitle"/>
        <w:rPr/>
      </w:pPr>
      <w:r>
        <w:t>Dokładne opisy wizualne slajdów</w:t>
      </w:r>
    </w:p>
    <w:p w:rsidR="00000000" w:rsidDel="00000000" w:rsidP="00000000" w:rsidRDefault="00000000" w:rsidRPr="00000000" w14:paraId="00000003">
      <w:pPr>
        <w:rPr/>
      </w:pPr>
      <w:r w:rsidDel="00000000" w:rsidR="00000000" w:rsidRPr="00000000">
        <w:rPr>
          <w:rFonts w:ascii="Arial" w:cs="Arial" w:eastAsia="Arial" w:hAnsi="Arial"/>
          <w:rtl w:val="0"/>
        </w:rPr>
        <w:t xml:space="preserve">Prowadzenie: Krzysiek Słaboń</w:t>
      </w:r>
      <w:r w:rsidDel="00000000" w:rsidR="00000000" w:rsidRPr="00000000">
        <w:rPr>
          <w:rtl w:val="0"/>
        </w:rPr>
      </w:r>
    </w:p>
    <w:p w:rsidR="00000000" w:rsidDel="00000000" w:rsidP="00000000" w:rsidRDefault="00000000" w:rsidRPr="00000000" w14:paraId="00000004">
      <w:pPr>
        <w:rPr/>
      </w:pPr>
      <w:r>
        <w:t>Czas trwania: 52 minuty 7 sekund</w:t>
      </w:r>
    </w:p>
    <w:p w:rsidR="00000000" w:rsidDel="00000000" w:rsidP="00000000" w:rsidRDefault="00000000" w:rsidRPr="00000000" w14:paraId="00000006">
      <w:pPr>
        <w:pStyle w:val="Heading1"/>
        <w:rPr/>
      </w:pPr>
      <w:r w:rsidDel="00000000" w:rsidR="00000000" w:rsidRPr="00000000">
        <w:rPr>
          <w:rFonts w:ascii="Arial" w:cs="Arial" w:eastAsia="Arial" w:hAnsi="Arial"/>
          <w:rtl w:val="0"/>
        </w:rPr>
        <w:t xml:space="preserve">O dokumencie</w:t>
      </w:r>
      <w:r w:rsidDel="00000000" w:rsidR="00000000" w:rsidRPr="00000000">
        <w:rPr>
          <w:rtl w:val="0"/>
        </w:rPr>
      </w:r>
    </w:p>
    <w:p w:rsidR="00000000" w:rsidDel="00000000" w:rsidP="00000000" w:rsidRDefault="00000000" w:rsidRPr="00000000" w14:paraId="00000007">
      <w:pPr>
        <w:rPr/>
      </w:pPr>
      <w:r>
        <w:t>Dokument zawiera dokładne opisy wizualne planszy otwierającej, zmian obrazu i slajdów wykorzystanych w publikowanej części webinaru.</w:t>
      </w:r>
    </w:p>
    <w:p w:rsidR="00000000" w:rsidDel="00000000" w:rsidP="00000000" w:rsidRDefault="00000000" w:rsidRPr="00000000" w14:paraId="00000008">
      <w:pPr>
        <w:pStyle w:val="Heading1"/>
        <w:rPr/>
      </w:pPr>
      <w:r>
        <w:t>Jak korzystać z dokumentu</w:t>
      </w:r>
    </w:p>
    <w:p w:rsidR="00000000" w:rsidDel="00000000" w:rsidP="00000000" w:rsidRDefault="00000000" w:rsidRPr="00000000" w14:paraId="00000009">
      <w:pPr>
        <w:rPr/>
      </w:pPr>
      <w:r>
        <w:t>Dokument jest uporządkowany nagłówkami. Przy każdym elemencie podany jest czas zmiany obrazu oraz jego pełny opis wizualny.</w:t>
      </w:r>
    </w:p>
    <w:p w:rsidR="00000000" w:rsidDel="00000000" w:rsidP="00000000" w:rsidRDefault="00000000" w:rsidRPr="00000000" w14:paraId="0000000A">
      <w:pPr>
        <w:pStyle w:val="Heading1"/>
        <w:rPr/>
      </w:pPr>
      <w:r w:rsidDel="00000000" w:rsidR="00000000" w:rsidRPr="00000000">
        <w:rPr>
          <w:rFonts w:ascii="Arial" w:cs="Arial" w:eastAsia="Arial" w:hAnsi="Arial"/>
          <w:rtl w:val="0"/>
        </w:rPr>
        <w:t xml:space="preserve">Opis wizualny całego nagrania</w:t>
      </w:r>
      <w:r w:rsidDel="00000000" w:rsidR="00000000" w:rsidRPr="00000000">
        <w:rPr>
          <w:rtl w:val="0"/>
        </w:rPr>
      </w:r>
    </w:p>
    <w:p w:rsidR="00000000" w:rsidDel="00000000" w:rsidP="00000000" w:rsidRDefault="00000000" w:rsidRPr="00000000" w14:paraId="0000000B">
      <w:pPr>
        <w:rPr/>
      </w:pPr>
      <w:r w:rsidDel="00000000" w:rsidR="00000000" w:rsidRPr="00000000">
        <w:rPr>
          <w:rFonts w:ascii="Arial" w:cs="Arial" w:eastAsia="Arial" w:hAnsi="Arial"/>
          <w:rtl w:val="0"/>
        </w:rPr>
        <w:t xml:space="preserve">Nagranie rozpoczyna plansza otwierająca webinar. Następnie pojawia się pełnoekranowy obraz prowadzącego w pomieszczeniu. Od początku prezentacji slajdy zajmują większą część obrazu po lewej stronie, a po prawej widoczne jest mniejsze okno z prowadzącym. Tło wokół udostępnionej prezentacji i okna prowadzącego jest czarne. Prezentacja ma spójną identyfikację wizualną: jasnoniebieskie i jasnozielone pola, czarne teksty oraz akcenty w intensywnym różu i zieleni. W części slajdów pojawiają się fotografie, schematy i proste piktogramy.</w:t>
      </w:r>
      <w:r w:rsidDel="00000000" w:rsidR="00000000" w:rsidRPr="00000000">
        <w:rPr>
          <w:rtl w:val="0"/>
        </w:rPr>
      </w:r>
    </w:p>
    <w:p w:rsidR="00000000" w:rsidDel="00000000" w:rsidP="00000000" w:rsidRDefault="00000000" w:rsidRPr="00000000" w14:paraId="0000000C">
      <w:pPr>
        <w:pStyle w:val="Heading1"/>
        <w:rPr/>
      </w:pPr>
      <w:r>
        <w:t>Plansza otwierająca i slajdy webinaru</w:t>
      </w:r>
    </w:p>
    <w:p w:rsidR="00000000" w:rsidDel="00000000" w:rsidP="00000000" w:rsidRDefault="00000000" w:rsidRPr="00000000" w14:paraId="0000000D">
      <w:pPr>
        <w:pStyle w:val="Heading2"/>
        <w:rPr/>
      </w:pPr>
      <w:r w:rsidDel="00000000" w:rsidR="00000000" w:rsidRPr="00000000">
        <w:rPr>
          <w:rFonts w:ascii="Arial" w:cs="Arial" w:eastAsia="Arial" w:hAnsi="Arial"/>
          <w:rtl w:val="0"/>
        </w:rPr>
        <w:t xml:space="preserve">Plansza otwierająca webinar</w:t>
      </w:r>
      <w:r w:rsidDel="00000000" w:rsidR="00000000" w:rsidRPr="00000000">
        <w:rPr>
          <w:rtl w:val="0"/>
        </w:rPr>
      </w:r>
    </w:p>
    <w:p w:rsidR="00000000" w:rsidDel="00000000" w:rsidP="00000000" w:rsidRDefault="00000000" w:rsidRPr="00000000" w14:paraId="0000000E">
      <w:pPr>
        <w:keepNext/>
        <w:rPr/>
      </w:pPr>
      <w:r w:rsidDel="00000000" w:rsidR="00000000" w:rsidRPr="00000000">
        <w:rPr>
          <w:rFonts w:ascii="Arial" w:cs="Arial" w:eastAsia="Arial" w:hAnsi="Arial"/>
          <w:rtl w:val="0"/>
        </w:rPr>
        <w:t xml:space="preserve">[00:00] Plansza otwierająca</w:t>
      </w:r>
      <w:r w:rsidDel="00000000" w:rsidR="00000000" w:rsidRPr="00000000">
        <w:rPr>
          <w:rtl w:val="0"/>
        </w:rPr>
      </w:r>
    </w:p>
    <w:p w:rsidR="00000000" w:rsidDel="00000000" w:rsidP="00000000" w:rsidRDefault="00000000" w:rsidRPr="00000000" w14:paraId="0000000F">
      <w:pPr>
        <w:pStyle w:val="Heading3"/>
        <w:rPr/>
      </w:pPr>
      <w:r w:rsidDel="00000000" w:rsidR="00000000" w:rsidRPr="00000000">
        <w:rPr>
          <w:rFonts w:ascii="Arial" w:cs="Arial" w:eastAsia="Arial" w:hAnsi="Arial"/>
          <w:rtl w:val="0"/>
        </w:rPr>
        <w:t xml:space="preserve">Opis wizualny planszy</w:t>
      </w:r>
      <w:r w:rsidDel="00000000" w:rsidR="00000000" w:rsidRPr="00000000">
        <w:rPr>
          <w:rtl w:val="0"/>
        </w:rPr>
      </w:r>
    </w:p>
    <w:p w:rsidR="00000000" w:rsidDel="00000000" w:rsidP="00000000" w:rsidRDefault="00000000" w:rsidRPr="00000000" w14:paraId="00000010">
      <w:pPr>
        <w:rPr/>
      </w:pPr>
      <w:r w:rsidDel="00000000" w:rsidR="00000000" w:rsidRPr="00000000">
        <w:rPr>
          <w:rFonts w:ascii="Arial" w:cs="Arial" w:eastAsia="Arial" w:hAnsi="Arial"/>
          <w:rtl w:val="0"/>
        </w:rPr>
        <w:t xml:space="preserve">Plansza ma żółte tło. U góry po lewej znajduje się znak SLOT wpisany w prostokąt, a obok duży napis: „SLOT - GENERATOR WSPÓLNOTY”. W środkowej części widoczne jest zdjęcie prowadzącego w kadrze z kamery. Po lewej, na białym prostokątnym polu, znajduje się tytuł: „BUDOWANIE PRZESTRZENI DLA ZESPOŁU”. Pod zdjęciem, na ciemnym pasku, widnieje napis: „Prowadzący: Krzysiek Słaboń”. W dolnej części planszy umieszczono logotyp Stowarzyszenia Lokalnych Ośrodków Twórczych SLOT oraz oznaczenia Ministerstwa Kultury i Dziedzictwa Narodowego i Narodowego Centrum Kultury z liczbą 75. Pod oznaczeniami znajduje się informacja o dofinansowaniu w ramach programu Narodowego Centrum Kultury „Kultura - Interwencje. Edycja 2026”.</w:t>
      </w:r>
      <w:r w:rsidDel="00000000" w:rsidR="00000000" w:rsidRPr="00000000">
        <w:rPr>
          <w:rtl w:val="0"/>
        </w:rPr>
      </w:r>
    </w:p>
    <w:p w:rsidR="00000000" w:rsidDel="00000000" w:rsidP="00000000" w:rsidRDefault="00000000" w:rsidRPr="00000000" w14:paraId="00000011">
      <w:pPr>
        <w:pStyle w:val="Heading2"/>
        <w:rPr/>
      </w:pPr>
      <w:r w:rsidDel="00000000" w:rsidR="00000000" w:rsidRPr="00000000">
        <w:rPr>
          <w:rFonts w:ascii="Arial" w:cs="Arial" w:eastAsia="Arial" w:hAnsi="Arial"/>
          <w:rtl w:val="0"/>
        </w:rPr>
        <w:t xml:space="preserve">Pełnoekranowy obraz prowadzącego</w:t>
      </w:r>
      <w:r w:rsidDel="00000000" w:rsidR="00000000" w:rsidRPr="00000000">
        <w:rPr>
          <w:rtl w:val="0"/>
        </w:rPr>
      </w:r>
    </w:p>
    <w:p w:rsidR="00000000" w:rsidDel="00000000" w:rsidP="00000000" w:rsidRDefault="00000000" w:rsidRPr="00000000" w14:paraId="00000012">
      <w:pPr>
        <w:keepNext/>
        <w:rPr/>
      </w:pPr>
      <w:r w:rsidDel="00000000" w:rsidR="00000000" w:rsidRPr="00000000">
        <w:rPr>
          <w:rFonts w:ascii="Arial" w:cs="Arial" w:eastAsia="Arial" w:hAnsi="Arial"/>
          <w:rtl w:val="0"/>
        </w:rPr>
        <w:t xml:space="preserve">[00:04] Zmiana obrazu</w:t>
      </w:r>
      <w:r w:rsidDel="00000000" w:rsidR="00000000" w:rsidRPr="00000000">
        <w:rPr>
          <w:rtl w:val="0"/>
        </w:rPr>
      </w:r>
    </w:p>
    <w:p w:rsidR="00000000" w:rsidDel="00000000" w:rsidP="00000000" w:rsidRDefault="00000000" w:rsidRPr="00000000" w14:paraId="00000013">
      <w:pPr>
        <w:pStyle w:val="Heading3"/>
        <w:rPr/>
      </w:pPr>
      <w:r w:rsidDel="00000000" w:rsidR="00000000" w:rsidRPr="00000000">
        <w:rPr>
          <w:rFonts w:ascii="Arial" w:cs="Arial" w:eastAsia="Arial" w:hAnsi="Arial"/>
          <w:rtl w:val="0"/>
        </w:rPr>
        <w:t xml:space="preserve">Opis wizualny obrazu</w:t>
      </w:r>
      <w:r w:rsidDel="00000000" w:rsidR="00000000" w:rsidRPr="00000000">
        <w:rPr>
          <w:rtl w:val="0"/>
        </w:rPr>
      </w:r>
    </w:p>
    <w:p w:rsidR="00000000" w:rsidDel="00000000" w:rsidP="00000000" w:rsidRDefault="00000000" w:rsidRPr="00000000" w14:paraId="00000014">
      <w:pPr>
        <w:rPr/>
      </w:pPr>
      <w:r w:rsidDel="00000000" w:rsidR="00000000" w:rsidRPr="00000000">
        <w:rPr>
          <w:rFonts w:ascii="Arial" w:cs="Arial" w:eastAsia="Arial" w:hAnsi="Arial"/>
          <w:rtl w:val="0"/>
        </w:rPr>
        <w:t xml:space="preserve">Na ekranie widoczny jest prowadzący w kadrze z kamery, siedzący w jasnym pomieszczeniu. Za nim po lewej znajduje się niski drewniany mebel i ciemny ekran, a po prawej duże okno. Prezentacja nie jest w tym momencie widoczna.</w:t>
      </w:r>
      <w:r w:rsidDel="00000000" w:rsidR="00000000" w:rsidRPr="00000000">
        <w:rPr>
          <w:rtl w:val="0"/>
        </w:rPr>
      </w:r>
    </w:p>
    <w:p w:rsidR="00000000" w:rsidDel="00000000" w:rsidP="00000000" w:rsidRDefault="00000000" w:rsidRPr="00000000" w14:paraId="00000018">
      <w:pPr>
        <w:pStyle w:val="Heading2"/>
        <w:rPr/>
      </w:pPr>
      <w:r w:rsidDel="00000000" w:rsidR="00000000" w:rsidRPr="00000000">
        <w:rPr>
          <w:rFonts w:ascii="Arial" w:cs="Arial" w:eastAsia="Arial" w:hAnsi="Arial"/>
          <w:rtl w:val="0"/>
        </w:rPr>
        <w:t xml:space="preserve">Slajd 1. Budowanie przestrzeni dla zespołu</w:t>
      </w:r>
      <w:r w:rsidDel="00000000" w:rsidR="00000000" w:rsidRPr="00000000">
        <w:rPr>
          <w:rtl w:val="0"/>
        </w:rPr>
      </w:r>
    </w:p>
    <w:p w:rsidR="00000000" w:rsidDel="00000000" w:rsidP="00000000" w:rsidRDefault="00000000" w:rsidRPr="00000000" w14:paraId="00000019">
      <w:pPr>
        <w:keepNext/>
        <w:rPr/>
      </w:pPr>
      <w:r w:rsidDel="00000000" w:rsidR="00000000" w:rsidRPr="00000000">
        <w:rPr>
          <w:rFonts w:ascii="Arial" w:cs="Arial" w:eastAsia="Arial" w:hAnsi="Arial"/>
          <w:rtl w:val="0"/>
        </w:rPr>
        <w:t xml:space="preserve">[02:0</w:t>
      </w:r>
      <w:r w:rsidDel="00000000" w:rsidR="00000000" w:rsidRPr="00000000">
        <w:rPr>
          <w:rtl w:val="0"/>
        </w:rPr>
        <w:t xml:space="preserve">3</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1A">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1B">
      <w:pPr>
        <w:rPr/>
      </w:pPr>
      <w:r w:rsidDel="00000000" w:rsidR="00000000" w:rsidRPr="00000000">
        <w:rPr>
          <w:rFonts w:ascii="Arial" w:cs="Arial" w:eastAsia="Arial" w:hAnsi="Arial"/>
          <w:rtl w:val="0"/>
        </w:rPr>
        <w:t xml:space="preserve">Slajd jest podzielony pionowo na dwa pola. Lewe ma jasnoniebieskie tło. Dużym różowym tekstem zapisano: „Budowanie przestrzeni dla zespołu”, a niżej czarnym: „tworzenie relacji i podejmowanie decyzji w grupie”. Prawe pole jest jasnozielone. U góry czarnym pogrubionym tekstem znajdują się pytania: „Co sprawia, że grupa staje się zespołem i kiedy to jest ważne? Jak możemy wpłynąć na to żeby pracowało nam się z przyjemnością i jednocześnie efektywnie?”. Niżej: „Na warsztacie stworzycie listę kontrolną, która pomoże wam tworzyć kontrakty zespołowe w różnych sytuacjach w których jesteście. Przyda się na slocie i na co dzień.” W dolnym białym pasie znajduje się duże logo SLOT oraz oznaczenia Ministerstwa Kultury i Dziedzictwa Narodowego i Narodowego Centrum Kultury z informacją o dofinansowaniu.</w:t>
      </w:r>
      <w:r w:rsidDel="00000000" w:rsidR="00000000" w:rsidRPr="00000000">
        <w:rPr>
          <w:rtl w:val="0"/>
        </w:rPr>
      </w:r>
    </w:p>
    <w:p w:rsidR="00000000" w:rsidDel="00000000" w:rsidP="00000000" w:rsidRDefault="00000000" w:rsidRPr="00000000" w14:paraId="0000001F">
      <w:pPr>
        <w:pStyle w:val="Heading2"/>
        <w:rPr/>
      </w:pPr>
      <w:r w:rsidDel="00000000" w:rsidR="00000000" w:rsidRPr="00000000">
        <w:rPr>
          <w:rFonts w:ascii="Arial" w:cs="Arial" w:eastAsia="Arial" w:hAnsi="Arial"/>
          <w:rtl w:val="0"/>
        </w:rPr>
        <w:t xml:space="preserve">Slajd 2. #miłość</w:t>
      </w:r>
      <w:r w:rsidDel="00000000" w:rsidR="00000000" w:rsidRPr="00000000">
        <w:rPr>
          <w:rtl w:val="0"/>
        </w:rPr>
      </w:r>
    </w:p>
    <w:p w:rsidR="00000000" w:rsidDel="00000000" w:rsidP="00000000" w:rsidRDefault="00000000" w:rsidRPr="00000000" w14:paraId="00000020">
      <w:pPr>
        <w:keepNext/>
        <w:rPr/>
      </w:pPr>
      <w:r w:rsidDel="00000000" w:rsidR="00000000" w:rsidRPr="00000000">
        <w:rPr>
          <w:rFonts w:ascii="Arial" w:cs="Arial" w:eastAsia="Arial" w:hAnsi="Arial"/>
          <w:rtl w:val="0"/>
        </w:rPr>
        <w:t xml:space="preserve">[03:3</w:t>
      </w:r>
      <w:r w:rsidDel="00000000" w:rsidR="00000000" w:rsidRPr="00000000">
        <w:rPr>
          <w:rtl w:val="0"/>
        </w:rPr>
        <w:t xml:space="preserve">6</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21">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22">
      <w:pPr>
        <w:rPr/>
      </w:pPr>
      <w:r w:rsidDel="00000000" w:rsidR="00000000" w:rsidRPr="00000000">
        <w:rPr>
          <w:rFonts w:ascii="Arial" w:cs="Arial" w:eastAsia="Arial" w:hAnsi="Arial"/>
          <w:rtl w:val="0"/>
        </w:rPr>
        <w:t xml:space="preserve">Slajd jest podzielony pionowo na jasnoniebieskie pole po lewej i jasnozielone po prawej. Po lewej widnieje różowy napis „#miłość” oraz duży różowy piktogram otwartej kłódki w kształcie serca. Po prawej u góry pogrubiony tekst: „Relacje, przyjaźń i wspólnota - na nich opieramy nasze działania.” Niżej znajduje się akapit: „Ta ciągła próba wychodzenia poza własne ja, tak indywidualnie, jak i grupowo - to rzecz najważniejsza. To nadaje sens naszemu działaniu. Miłość jest bardzo praktyczna. To uważność i chęć, żeby zatrzymać się dla kogoś innego wtedy, kiedy gna nas do przodu. Jeżeli czeka nas kiedyś jakaś totalna ewaluacja, to na pewno o to będziemy zapytani.”</w:t>
      </w:r>
      <w:r w:rsidDel="00000000" w:rsidR="00000000" w:rsidRPr="00000000">
        <w:rPr>
          <w:rtl w:val="0"/>
        </w:rPr>
      </w:r>
    </w:p>
    <w:p w:rsidR="00000000" w:rsidDel="00000000" w:rsidP="00000000" w:rsidRDefault="00000000" w:rsidRPr="00000000" w14:paraId="00000027">
      <w:pPr>
        <w:pStyle w:val="Heading2"/>
        <w:rPr/>
      </w:pPr>
      <w:r w:rsidDel="00000000" w:rsidR="00000000" w:rsidRPr="00000000">
        <w:rPr>
          <w:rFonts w:ascii="Arial" w:cs="Arial" w:eastAsia="Arial" w:hAnsi="Arial"/>
          <w:rtl w:val="0"/>
        </w:rPr>
        <w:t xml:space="preserve">Slajd 3. #wolność</w:t>
      </w:r>
      <w:r w:rsidDel="00000000" w:rsidR="00000000" w:rsidRPr="00000000">
        <w:rPr>
          <w:rtl w:val="0"/>
        </w:rPr>
      </w:r>
    </w:p>
    <w:p w:rsidR="00000000" w:rsidDel="00000000" w:rsidP="00000000" w:rsidRDefault="00000000" w:rsidRPr="00000000" w14:paraId="00000028">
      <w:pPr>
        <w:keepNext/>
        <w:rPr/>
      </w:pPr>
      <w:r w:rsidDel="00000000" w:rsidR="00000000" w:rsidRPr="00000000">
        <w:rPr>
          <w:rFonts w:ascii="Arial" w:cs="Arial" w:eastAsia="Arial" w:hAnsi="Arial"/>
          <w:rtl w:val="0"/>
        </w:rPr>
        <w:t xml:space="preserve">[06:4</w:t>
      </w:r>
      <w:r w:rsidDel="00000000" w:rsidR="00000000" w:rsidRPr="00000000">
        <w:rPr>
          <w:rtl w:val="0"/>
        </w:rPr>
        <w:t xml:space="preserve">1</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29">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2A">
      <w:pPr>
        <w:rPr/>
      </w:pPr>
      <w:r w:rsidDel="00000000" w:rsidR="00000000" w:rsidRPr="00000000">
        <w:rPr>
          <w:rFonts w:ascii="Arial" w:cs="Arial" w:eastAsia="Arial" w:hAnsi="Arial"/>
          <w:rtl w:val="0"/>
        </w:rPr>
        <w:t xml:space="preserve">Slajd ma taki sam dwudzielny układ jak poprzedni. Po lewej, na jasnoniebieskim tle, znajduje się różowy napis „#wolność” oraz różowy piktogram dwóch schematycznych postaci trzymających się za ręce i podskakujących. Po prawej, na jasnozielonym tle, widnieje tekst: „Wolność bycia sobą autentycznie. I odczuwalne zaproszenie - tutaj możesz być sobą taka, jaka jesteś, taki, jaki jesteś. W naszej różnorodności jest wielkie bogactwo. Obok słowa wolność pojawia się drugie, bardzo ważne - odpowiedzialność. Za ludzi i inne istoty, które żyją razem ze mną lub choćby obok mnie. Oraz za przestrzeń, w której jesteśmy.”</w:t>
      </w:r>
      <w:r w:rsidDel="00000000" w:rsidR="00000000" w:rsidRPr="00000000">
        <w:rPr>
          <w:rtl w:val="0"/>
        </w:rPr>
      </w:r>
    </w:p>
    <w:p w:rsidR="00000000" w:rsidDel="00000000" w:rsidP="00000000" w:rsidRDefault="00000000" w:rsidRPr="00000000" w14:paraId="00000030">
      <w:pPr>
        <w:pStyle w:val="Heading2"/>
        <w:rPr/>
      </w:pPr>
      <w:r w:rsidDel="00000000" w:rsidR="00000000" w:rsidRPr="00000000">
        <w:rPr>
          <w:rFonts w:ascii="Arial" w:cs="Arial" w:eastAsia="Arial" w:hAnsi="Arial"/>
          <w:rtl w:val="0"/>
        </w:rPr>
        <w:t xml:space="preserve">Slajd 4. Ćwiczenie wyobraźni</w:t>
      </w:r>
      <w:r w:rsidDel="00000000" w:rsidR="00000000" w:rsidRPr="00000000">
        <w:rPr>
          <w:rtl w:val="0"/>
        </w:rPr>
      </w:r>
    </w:p>
    <w:p w:rsidR="00000000" w:rsidDel="00000000" w:rsidP="00000000" w:rsidRDefault="00000000" w:rsidRPr="00000000" w14:paraId="00000031">
      <w:pPr>
        <w:keepNext/>
        <w:rPr/>
      </w:pPr>
      <w:r w:rsidDel="00000000" w:rsidR="00000000" w:rsidRPr="00000000">
        <w:rPr>
          <w:rFonts w:ascii="Arial" w:cs="Arial" w:eastAsia="Arial" w:hAnsi="Arial"/>
          <w:rtl w:val="0"/>
        </w:rPr>
        <w:t xml:space="preserve">[10:00] Zmiana slajdu</w:t>
      </w:r>
      <w:r w:rsidDel="00000000" w:rsidR="00000000" w:rsidRPr="00000000">
        <w:rPr>
          <w:rtl w:val="0"/>
        </w:rPr>
      </w:r>
    </w:p>
    <w:p w:rsidR="00000000" w:rsidDel="00000000" w:rsidP="00000000" w:rsidRDefault="00000000" w:rsidRPr="00000000" w14:paraId="00000032">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33">
      <w:pPr>
        <w:rPr/>
      </w:pPr>
      <w:r w:rsidDel="00000000" w:rsidR="00000000" w:rsidRPr="00000000">
        <w:rPr>
          <w:rFonts w:ascii="Arial" w:cs="Arial" w:eastAsia="Arial" w:hAnsi="Arial"/>
          <w:rtl w:val="0"/>
        </w:rPr>
        <w:t xml:space="preserve">Po lewej stronie, na jasnoniebieskim tle, znajduje się różowy piktogram profilu głowy z dużą chmurką myśli. Po prawej umieszczono dużą fotografię wnętrza kawiarni. Przy stoliku siedzi kilka osób. Jedna z kobiet, zwrócona twarzą do aparatu, uśmiecha się podczas rozmowy. </w:t>
      </w:r>
      <w:r w:rsidDel="00000000" w:rsidR="00000000" w:rsidRPr="00000000">
        <w:rPr>
          <w:rtl w:val="0"/>
        </w:rPr>
        <w:t xml:space="preserve">N</w:t>
      </w:r>
      <w:r w:rsidDel="00000000" w:rsidR="00000000" w:rsidRPr="00000000">
        <w:rPr>
          <w:rFonts w:ascii="Arial" w:cs="Arial" w:eastAsia="Arial" w:hAnsi="Arial"/>
          <w:rtl w:val="0"/>
        </w:rPr>
        <w:t xml:space="preserve">ad grupą wiszą duże czarne lampy.</w:t>
      </w:r>
      <w:r w:rsidDel="00000000" w:rsidR="00000000" w:rsidRPr="00000000">
        <w:rPr>
          <w:rtl w:val="0"/>
        </w:rPr>
      </w:r>
    </w:p>
    <w:p w:rsidR="00000000" w:rsidDel="00000000" w:rsidP="00000000" w:rsidRDefault="00000000" w:rsidRPr="00000000" w14:paraId="00000038">
      <w:pPr>
        <w:pStyle w:val="Heading2"/>
        <w:rPr/>
      </w:pPr>
      <w:r w:rsidDel="00000000" w:rsidR="00000000" w:rsidRPr="00000000">
        <w:rPr>
          <w:rFonts w:ascii="Arial" w:cs="Arial" w:eastAsia="Arial" w:hAnsi="Arial"/>
          <w:rtl w:val="0"/>
        </w:rPr>
        <w:t xml:space="preserve">Slajd 5. #MRI</w:t>
      </w:r>
      <w:r w:rsidDel="00000000" w:rsidR="00000000" w:rsidRPr="00000000">
        <w:rPr>
          <w:rtl w:val="0"/>
        </w:rPr>
      </w:r>
    </w:p>
    <w:p w:rsidR="00000000" w:rsidDel="00000000" w:rsidP="00000000" w:rsidRDefault="00000000" w:rsidRPr="00000000" w14:paraId="00000039">
      <w:pPr>
        <w:keepNext/>
        <w:rPr/>
      </w:pPr>
      <w:r w:rsidDel="00000000" w:rsidR="00000000" w:rsidRPr="00000000">
        <w:rPr>
          <w:rFonts w:ascii="Arial" w:cs="Arial" w:eastAsia="Arial" w:hAnsi="Arial"/>
          <w:rtl w:val="0"/>
        </w:rPr>
        <w:t xml:space="preserve">[12:</w:t>
      </w:r>
      <w:r w:rsidDel="00000000" w:rsidR="00000000" w:rsidRPr="00000000">
        <w:rPr>
          <w:rtl w:val="0"/>
        </w:rPr>
        <w:t xml:space="preserve">48</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3A">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3B">
      <w:pPr>
        <w:rPr/>
      </w:pPr>
      <w:r w:rsidDel="00000000" w:rsidR="00000000" w:rsidRPr="00000000">
        <w:rPr>
          <w:rFonts w:ascii="Arial" w:cs="Arial" w:eastAsia="Arial" w:hAnsi="Arial"/>
          <w:rtl w:val="0"/>
        </w:rPr>
        <w:t xml:space="preserve">Slajd jest podzielony pionowo. Po lewej, na jasnoniebieskim tle, widnieje różowy napis „# MRI”, duży piktogram żarówki oraz zapis: „- most respectful interpretation &gt; interpretacja najbardziej dobroduszna”. Po prawej, na jasnozielonym tle, znajduje się tekst: „model myślowy polegający na dawaniu ludziom kredytu zaufania zamiast zakładać wrogie lub negatywne motywy, świadomie wybierasz interpretację zachowań innych osób, która wynika z najbardziej życzliwej i konstruktywnej perspektywy”.</w:t>
      </w:r>
      <w:r w:rsidDel="00000000" w:rsidR="00000000" w:rsidRPr="00000000">
        <w:rPr>
          <w:rtl w:val="0"/>
        </w:rPr>
      </w:r>
    </w:p>
    <w:p w:rsidR="00000000" w:rsidDel="00000000" w:rsidP="00000000" w:rsidRDefault="00000000" w:rsidRPr="00000000" w14:paraId="0000003F">
      <w:pPr>
        <w:pStyle w:val="Heading2"/>
        <w:rPr/>
      </w:pPr>
      <w:r w:rsidDel="00000000" w:rsidR="00000000" w:rsidRPr="00000000">
        <w:rPr>
          <w:rFonts w:ascii="Arial" w:cs="Arial" w:eastAsia="Arial" w:hAnsi="Arial"/>
          <w:rtl w:val="0"/>
        </w:rPr>
        <w:t xml:space="preserve">Slajd 6. #MRI - dlaczego to działa?</w:t>
      </w:r>
      <w:r w:rsidDel="00000000" w:rsidR="00000000" w:rsidRPr="00000000">
        <w:rPr>
          <w:rtl w:val="0"/>
        </w:rPr>
      </w:r>
    </w:p>
    <w:p w:rsidR="00000000" w:rsidDel="00000000" w:rsidP="00000000" w:rsidRDefault="00000000" w:rsidRPr="00000000" w14:paraId="00000040">
      <w:pPr>
        <w:keepNext/>
        <w:rPr/>
      </w:pPr>
      <w:r w:rsidDel="00000000" w:rsidR="00000000" w:rsidRPr="00000000">
        <w:rPr>
          <w:rFonts w:ascii="Arial" w:cs="Arial" w:eastAsia="Arial" w:hAnsi="Arial"/>
          <w:rtl w:val="0"/>
        </w:rPr>
        <w:t xml:space="preserve">[14:1</w:t>
      </w:r>
      <w:r w:rsidDel="00000000" w:rsidR="00000000" w:rsidRPr="00000000">
        <w:rPr>
          <w:rtl w:val="0"/>
        </w:rPr>
        <w:t xml:space="preserve">3</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41">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42">
      <w:pPr>
        <w:rPr/>
      </w:pPr>
      <w:r w:rsidDel="00000000" w:rsidR="00000000" w:rsidRPr="00000000">
        <w:rPr>
          <w:rFonts w:ascii="Arial" w:cs="Arial" w:eastAsia="Arial" w:hAnsi="Arial"/>
          <w:rtl w:val="0"/>
        </w:rPr>
        <w:t xml:space="preserve">Po lewej stronie na jasnoniebieskim tle widnieje „# MRI”, wyjaśnienie „- most respectful interpretation &gt; interpretacja najbardziej dobroduszna” oraz różowy napis „dlaczego to działa?”. Po prawej, na jasnozielonym tle, umieszczono trzy punkty: „Zatrzymujesz negatywne myśli: Zapobiegasz tworzeniu teorii opartych na negatywnych domysłach lub własnych uprzedzeniach.” „Redukuje konflikty: Zakładając dobre intencje eliminujesz niepotrzebny stres i reakcje obronne.” „Buduje relacje: Rozwija empatię, dojrzałość emocjonalną oraz ułatwia współpracę za”.</w:t>
      </w:r>
      <w:r w:rsidDel="00000000" w:rsidR="00000000" w:rsidRPr="00000000">
        <w:rPr>
          <w:rtl w:val="0"/>
        </w:rPr>
      </w:r>
    </w:p>
    <w:p w:rsidR="00000000" w:rsidDel="00000000" w:rsidP="00000000" w:rsidRDefault="00000000" w:rsidRPr="00000000" w14:paraId="00000046">
      <w:pPr>
        <w:pStyle w:val="Heading2"/>
        <w:rPr/>
      </w:pPr>
      <w:r w:rsidDel="00000000" w:rsidR="00000000" w:rsidRPr="00000000">
        <w:rPr>
          <w:rFonts w:ascii="Arial" w:cs="Arial" w:eastAsia="Arial" w:hAnsi="Arial"/>
          <w:rtl w:val="0"/>
        </w:rPr>
        <w:t xml:space="preserve">Slajd 7. #MRI - jak to stosować w praktyce?</w:t>
      </w:r>
      <w:r w:rsidDel="00000000" w:rsidR="00000000" w:rsidRPr="00000000">
        <w:rPr>
          <w:rtl w:val="0"/>
        </w:rPr>
      </w:r>
    </w:p>
    <w:p w:rsidR="00000000" w:rsidDel="00000000" w:rsidP="00000000" w:rsidRDefault="00000000" w:rsidRPr="00000000" w14:paraId="00000047">
      <w:pPr>
        <w:keepNext/>
        <w:rPr/>
      </w:pPr>
      <w:r w:rsidDel="00000000" w:rsidR="00000000" w:rsidRPr="00000000">
        <w:rPr>
          <w:rFonts w:ascii="Arial" w:cs="Arial" w:eastAsia="Arial" w:hAnsi="Arial"/>
          <w:rtl w:val="0"/>
        </w:rPr>
        <w:t xml:space="preserve">[16:1</w:t>
      </w:r>
      <w:r w:rsidDel="00000000" w:rsidR="00000000" w:rsidRPr="00000000">
        <w:rPr>
          <w:rtl w:val="0"/>
        </w:rPr>
        <w:t xml:space="preserve">0</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48">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
      </w:r>
      <w:r w:rsidDel="00000000" w:rsidR="00000000" w:rsidRPr="00000000">
        <w:rPr>
          <w:rFonts w:ascii="Arial" w:cs="Arial" w:eastAsia="Arial" w:hAnsi="Arial"/>
          <w:rtl w:val="0"/>
        </w:rPr>
        <w:t xml:space="preserve">Po lewej stronie na jasnoniebieskim tle widnieje „# MRI”, wyjaśnienie „- most respectful interpretation &gt; interpretacja najbardziej dobroduszna” oraz różowy napis „jak to stosować w praktyce?”. Po prawej, na jasnozielonym tle, są trzy punkty: „Zatrzymaj reakcję: Zauważ swoją automatyczną, negatywną ocenę i świadomie ją zablokuj.” „Zadaj pytanie „A co jeśli?”: Wymyśl pozytywne lub neutralne powody zachowania danej osoby (np. jeśli szef nie odpisał na e-mail, załóż, że jest zajęty pilnym kryzysem, a nie że Cię ignoruje).” „Odpowiedz na najlepszą wersję: Odpisz lub zareaguj tak, jakby ta najbardziej życzliwa wersja wydarzeń była absolutną prawdą.”</w:t>
      </w:r>
      <w:r w:rsidDel="00000000" w:rsidR="00000000" w:rsidRPr="00000000">
        <w:rPr>
          <w:rtl w:val="0"/>
        </w:rPr>
      </w:r>
    </w:p>
    <w:p w:rsidR="00000000" w:rsidDel="00000000" w:rsidP="00000000" w:rsidRDefault="00000000" w:rsidRPr="00000000" w14:paraId="0000004D">
      <w:pPr>
        <w:pStyle w:val="Heading2"/>
        <w:rPr/>
      </w:pPr>
      <w:r w:rsidDel="00000000" w:rsidR="00000000" w:rsidRPr="00000000">
        <w:rPr>
          <w:rFonts w:ascii="Arial" w:cs="Arial" w:eastAsia="Arial" w:hAnsi="Arial"/>
          <w:rtl w:val="0"/>
        </w:rPr>
        <w:t xml:space="preserve">Slajd 8. Pozycje życiowe</w:t>
      </w:r>
      <w:r w:rsidDel="00000000" w:rsidR="00000000" w:rsidRPr="00000000">
        <w:rPr>
          <w:rtl w:val="0"/>
        </w:rPr>
      </w:r>
    </w:p>
    <w:p w:rsidR="00000000" w:rsidDel="00000000" w:rsidP="00000000" w:rsidRDefault="00000000" w:rsidRPr="00000000" w14:paraId="0000004E">
      <w:pPr>
        <w:keepNext/>
        <w:rPr/>
      </w:pPr>
      <w:r w:rsidDel="00000000" w:rsidR="00000000" w:rsidRPr="00000000">
        <w:rPr>
          <w:rFonts w:ascii="Arial" w:cs="Arial" w:eastAsia="Arial" w:hAnsi="Arial"/>
          <w:rtl w:val="0"/>
        </w:rPr>
        <w:t xml:space="preserve">[17:4</w:t>
      </w:r>
      <w:r w:rsidDel="00000000" w:rsidR="00000000" w:rsidRPr="00000000">
        <w:rPr>
          <w:rtl w:val="0"/>
        </w:rPr>
        <w:t xml:space="preserve">5</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4F">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50">
      <w:pPr>
        <w:rPr/>
      </w:pPr>
      <w:r w:rsidDel="00000000" w:rsidR="00000000" w:rsidRPr="00000000">
        <w:rPr>
          <w:rFonts w:ascii="Arial" w:cs="Arial" w:eastAsia="Arial" w:hAnsi="Arial"/>
          <w:rtl w:val="0"/>
        </w:rPr>
        <w:t xml:space="preserve">Po lewej znajduje się jasnoniebieski pionowy panel z różowym tytułem „pozycje życiowe”. Po prawej ułożono cztery kwadratowe pola w układzie dwa na dwa. Każde zawiera dwie uproszczone sylwetki oraz symbole kciuka w górę lub w dół. Pola są podpisane: „ja nie OK, ty OK”, „ja OK, ty OK”, „ja nie OK, ty nie OK” i „ja OK, ty nie OK”. Zielon</w:t>
      </w:r>
      <w:r w:rsidDel="00000000" w:rsidR="00000000" w:rsidRPr="00000000">
        <w:rPr>
          <w:rtl w:val="0"/>
        </w:rPr>
        <w:t xml:space="preserve">e tło</w:t>
      </w:r>
      <w:r w:rsidDel="00000000" w:rsidR="00000000" w:rsidRPr="00000000">
        <w:rPr>
          <w:rFonts w:ascii="Arial" w:cs="Arial" w:eastAsia="Arial" w:hAnsi="Arial"/>
          <w:rtl w:val="0"/>
        </w:rPr>
        <w:t xml:space="preserve"> oznacza ocenę „OK”, a różow</w:t>
      </w:r>
      <w:r w:rsidDel="00000000" w:rsidR="00000000" w:rsidRPr="00000000">
        <w:rPr>
          <w:rtl w:val="0"/>
        </w:rPr>
        <w:t xml:space="preserve">e</w:t>
      </w:r>
      <w:r w:rsidDel="00000000" w:rsidR="00000000" w:rsidRPr="00000000">
        <w:rPr>
          <w:rFonts w:ascii="Arial" w:cs="Arial" w:eastAsia="Arial" w:hAnsi="Arial"/>
          <w:rtl w:val="0"/>
        </w:rPr>
        <w:t xml:space="preserve"> „nie OK”.</w:t>
      </w:r>
      <w:r w:rsidDel="00000000" w:rsidR="00000000" w:rsidRPr="00000000">
        <w:rPr>
          <w:rtl w:val="0"/>
        </w:rPr>
      </w:r>
    </w:p>
    <w:p w:rsidR="00000000" w:rsidDel="00000000" w:rsidP="00000000" w:rsidRDefault="00000000" w:rsidRPr="00000000" w14:paraId="00000054">
      <w:pPr>
        <w:pStyle w:val="Heading2"/>
        <w:rPr/>
      </w:pPr>
      <w:r w:rsidDel="00000000" w:rsidR="00000000" w:rsidRPr="00000000">
        <w:rPr>
          <w:rFonts w:ascii="Arial" w:cs="Arial" w:eastAsia="Arial" w:hAnsi="Arial"/>
          <w:rtl w:val="0"/>
        </w:rPr>
        <w:t xml:space="preserve">Slajd 9. Pozycje życiowe - postawy</w:t>
      </w:r>
      <w:r w:rsidDel="00000000" w:rsidR="00000000" w:rsidRPr="00000000">
        <w:rPr>
          <w:rtl w:val="0"/>
        </w:rPr>
      </w:r>
    </w:p>
    <w:p w:rsidR="00000000" w:rsidDel="00000000" w:rsidP="00000000" w:rsidRDefault="00000000" w:rsidRPr="00000000" w14:paraId="00000055">
      <w:pPr>
        <w:keepNext/>
        <w:rPr/>
      </w:pPr>
      <w:r w:rsidDel="00000000" w:rsidR="00000000" w:rsidRPr="00000000">
        <w:rPr>
          <w:rFonts w:ascii="Arial" w:cs="Arial" w:eastAsia="Arial" w:hAnsi="Arial"/>
          <w:rtl w:val="0"/>
        </w:rPr>
        <w:t xml:space="preserve">[19:21] Zmiana slajdu</w:t>
      </w:r>
      <w:r w:rsidDel="00000000" w:rsidR="00000000" w:rsidRPr="00000000">
        <w:rPr>
          <w:rtl w:val="0"/>
        </w:rPr>
      </w:r>
    </w:p>
    <w:p w:rsidR="00000000" w:rsidDel="00000000" w:rsidP="00000000" w:rsidRDefault="00000000" w:rsidRPr="00000000" w14:paraId="00000056">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57">
      <w:pPr>
        <w:rPr/>
      </w:pPr>
      <w:r w:rsidDel="00000000" w:rsidR="00000000" w:rsidRPr="00000000">
        <w:rPr>
          <w:rFonts w:ascii="Arial" w:cs="Arial" w:eastAsia="Arial" w:hAnsi="Arial"/>
          <w:rtl w:val="0"/>
        </w:rPr>
        <w:t xml:space="preserve">Slajd zachowuje układ z czterema polami i symbolami kciuków. Nad polami </w:t>
      </w:r>
      <w:r w:rsidDel="00000000" w:rsidR="00000000" w:rsidRPr="00000000">
        <w:rPr>
          <w:rtl w:val="0"/>
        </w:rPr>
        <w:t xml:space="preserve">pojawiają się</w:t>
      </w:r>
      <w:r w:rsidDel="00000000" w:rsidR="00000000" w:rsidRPr="00000000">
        <w:rPr>
          <w:rFonts w:ascii="Arial" w:cs="Arial" w:eastAsia="Arial" w:hAnsi="Arial"/>
          <w:rtl w:val="0"/>
        </w:rPr>
        <w:t xml:space="preserve"> nazwy postaw: „uległość” </w:t>
      </w:r>
      <w:r w:rsidDel="00000000" w:rsidR="00000000" w:rsidRPr="00000000">
        <w:rPr>
          <w:rtl w:val="0"/>
        </w:rPr>
        <w:t xml:space="preserve">zamiast</w:t>
      </w:r>
      <w:r w:rsidDel="00000000" w:rsidR="00000000" w:rsidRPr="00000000">
        <w:rPr>
          <w:rFonts w:ascii="Arial" w:cs="Arial" w:eastAsia="Arial" w:hAnsi="Arial"/>
          <w:rtl w:val="0"/>
        </w:rPr>
        <w:t xml:space="preserve"> „ja nie OK, ty OK”, „asertywność” </w:t>
      </w:r>
      <w:r w:rsidDel="00000000" w:rsidR="00000000" w:rsidRPr="00000000">
        <w:rPr>
          <w:rtl w:val="0"/>
        </w:rPr>
        <w:t xml:space="preserve">zamiast</w:t>
      </w:r>
      <w:r w:rsidDel="00000000" w:rsidR="00000000" w:rsidRPr="00000000">
        <w:rPr>
          <w:rFonts w:ascii="Arial" w:cs="Arial" w:eastAsia="Arial" w:hAnsi="Arial"/>
          <w:rtl w:val="0"/>
        </w:rPr>
        <w:t xml:space="preserve"> „ja OK, ty OK”, „rezygnacja” </w:t>
      </w:r>
      <w:r w:rsidDel="00000000" w:rsidR="00000000" w:rsidRPr="00000000">
        <w:rPr>
          <w:rtl w:val="0"/>
        </w:rPr>
        <w:t xml:space="preserve">zamiast</w:t>
      </w:r>
      <w:r w:rsidDel="00000000" w:rsidR="00000000" w:rsidRPr="00000000">
        <w:rPr>
          <w:rFonts w:ascii="Arial" w:cs="Arial" w:eastAsia="Arial" w:hAnsi="Arial"/>
          <w:rtl w:val="0"/>
        </w:rPr>
        <w:t xml:space="preserve"> „ja nie OK, ty nie OK” oraz „agresja” przy „ja OK, ty nie OK”.</w:t>
      </w:r>
      <w:r w:rsidDel="00000000" w:rsidR="00000000" w:rsidRPr="00000000">
        <w:rPr>
          <w:rtl w:val="0"/>
        </w:rPr>
      </w:r>
    </w:p>
    <w:p w:rsidR="00000000" w:rsidDel="00000000" w:rsidP="00000000" w:rsidRDefault="00000000" w:rsidRPr="00000000" w14:paraId="0000005C">
      <w:pPr>
        <w:pStyle w:val="Heading2"/>
        <w:rPr/>
      </w:pPr>
      <w:r w:rsidDel="00000000" w:rsidR="00000000" w:rsidRPr="00000000">
        <w:rPr>
          <w:rFonts w:ascii="Arial" w:cs="Arial" w:eastAsia="Arial" w:hAnsi="Arial"/>
          <w:rtl w:val="0"/>
        </w:rPr>
        <w:t xml:space="preserve">Slajd 10. Napięcie twórcze i napięcia wewnętrzne</w:t>
      </w:r>
      <w:r w:rsidDel="00000000" w:rsidR="00000000" w:rsidRPr="00000000">
        <w:rPr>
          <w:rtl w:val="0"/>
        </w:rPr>
      </w:r>
    </w:p>
    <w:p w:rsidR="00000000" w:rsidDel="00000000" w:rsidP="00000000" w:rsidRDefault="00000000" w:rsidRPr="00000000" w14:paraId="0000005D">
      <w:pPr>
        <w:keepNext/>
        <w:rPr/>
      </w:pPr>
      <w:r w:rsidDel="00000000" w:rsidR="00000000" w:rsidRPr="00000000">
        <w:rPr>
          <w:rFonts w:ascii="Arial" w:cs="Arial" w:eastAsia="Arial" w:hAnsi="Arial"/>
          <w:rtl w:val="0"/>
        </w:rPr>
        <w:t xml:space="preserve">[21:4</w:t>
      </w:r>
      <w:r w:rsidDel="00000000" w:rsidR="00000000" w:rsidRPr="00000000">
        <w:rPr>
          <w:rtl w:val="0"/>
        </w:rPr>
        <w:t xml:space="preserve">5</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5E">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5F">
      <w:pPr>
        <w:rPr/>
      </w:pPr>
      <w:r w:rsidDel="00000000" w:rsidR="00000000" w:rsidRPr="00000000">
        <w:rPr>
          <w:rFonts w:ascii="Arial" w:cs="Arial" w:eastAsia="Arial" w:hAnsi="Arial"/>
          <w:rtl w:val="0"/>
        </w:rPr>
        <w:t xml:space="preserve">Na jasnoniebieskim tle widnieje różowy tytuł „napięcie twórcze i napięcia wewnętrzne”. Poniżej znajduje się czarno-biały rysunek: postać stoi pośrodku i rozciąga długą linię lub gumę pomiędzy punktem po lewej a dłonią po prawej. Pod lewą stroną podpis: „PRZEKONANIE O WŁASNEJ BEZSILNOŚCI LUB BEZWARTOŚCIOWOŚCI”, pod postacią: „TWOJA OBECNA RZECZYWISTOŚĆ”, a pod prawą stroną: „TWOJA WIZJA”.</w:t>
      </w:r>
      <w:r w:rsidDel="00000000" w:rsidR="00000000" w:rsidRPr="00000000">
        <w:rPr>
          <w:rtl w:val="0"/>
        </w:rPr>
      </w:r>
    </w:p>
    <w:p w:rsidR="00000000" w:rsidDel="00000000" w:rsidP="00000000" w:rsidRDefault="00000000" w:rsidRPr="00000000" w14:paraId="00000065">
      <w:pPr>
        <w:pStyle w:val="Heading2"/>
        <w:rPr/>
      </w:pPr>
      <w:r w:rsidDel="00000000" w:rsidR="00000000" w:rsidRPr="00000000">
        <w:rPr>
          <w:rFonts w:ascii="Arial" w:cs="Arial" w:eastAsia="Arial" w:hAnsi="Arial"/>
          <w:rtl w:val="0"/>
        </w:rPr>
        <w:t xml:space="preserve">Slajd 11. Energia zespołu a klimat w zespole</w:t>
      </w:r>
      <w:r w:rsidDel="00000000" w:rsidR="00000000" w:rsidRPr="00000000">
        <w:rPr>
          <w:rtl w:val="0"/>
        </w:rPr>
      </w:r>
    </w:p>
    <w:p w:rsidR="00000000" w:rsidDel="00000000" w:rsidP="00000000" w:rsidRDefault="00000000" w:rsidRPr="00000000" w14:paraId="00000066">
      <w:pPr>
        <w:keepNext/>
        <w:rPr/>
      </w:pPr>
      <w:r w:rsidDel="00000000" w:rsidR="00000000" w:rsidRPr="00000000">
        <w:rPr>
          <w:rFonts w:ascii="Arial" w:cs="Arial" w:eastAsia="Arial" w:hAnsi="Arial"/>
          <w:rtl w:val="0"/>
        </w:rPr>
        <w:t xml:space="preserve">[25:3</w:t>
      </w:r>
      <w:r w:rsidDel="00000000" w:rsidR="00000000" w:rsidRPr="00000000">
        <w:rPr>
          <w:rtl w:val="0"/>
        </w:rPr>
        <w:t xml:space="preserve">7</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67">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68">
      <w:pPr>
        <w:rPr/>
      </w:pPr>
      <w:r w:rsidDel="00000000" w:rsidR="00000000" w:rsidRPr="00000000">
        <w:rPr>
          <w:rFonts w:ascii="Arial" w:cs="Arial" w:eastAsia="Arial" w:hAnsi="Arial"/>
          <w:rtl w:val="0"/>
        </w:rPr>
        <w:t xml:space="preserve">Po lewej na jasnoniebieskim panelu widnieje różowy tytuł „energia zespołu a klimat w zespole”. Po prawej znajduje się wykres. Oś pionowa pokazuje poziomy 0%, 25%, 50%, 75% i „100% ENERGII”. Na osi poziomej zapisano kolejne rodzaje klimatu: „ZAGROŻENIE”, „ANIMOZJE NIEZGODA”, „NEUTRALNY”, „WSPÓŁPRACA”, „WZAJEMNE POMAGANIE”. Dwie linie pokazują przeciwstawne tendencje. Zielone pole opisano: „% ENERGII OSIĄGALNEJ DLA DANEGO ZADANIA I POWODZENIA W NIM”, a różowe: „% ENERGII ZUŻYTEJ NA PRZETRWANIE”.</w:t>
      </w:r>
      <w:r w:rsidDel="00000000" w:rsidR="00000000" w:rsidRPr="00000000">
        <w:rPr>
          <w:rtl w:val="0"/>
        </w:rPr>
      </w:r>
    </w:p>
    <w:p w:rsidR="00000000" w:rsidDel="00000000" w:rsidP="00000000" w:rsidRDefault="00000000" w:rsidRPr="00000000" w14:paraId="0000006C">
      <w:pPr>
        <w:pStyle w:val="Heading2"/>
        <w:rPr/>
      </w:pPr>
      <w:r w:rsidDel="00000000" w:rsidR="00000000" w:rsidRPr="00000000">
        <w:rPr>
          <w:rFonts w:ascii="Arial" w:cs="Arial" w:eastAsia="Arial" w:hAnsi="Arial"/>
          <w:rtl w:val="0"/>
        </w:rPr>
        <w:t xml:space="preserve">Slajd 12. Inspiracje</w:t>
      </w:r>
      <w:r w:rsidDel="00000000" w:rsidR="00000000" w:rsidRPr="00000000">
        <w:rPr>
          <w:rtl w:val="0"/>
        </w:rPr>
      </w:r>
    </w:p>
    <w:p w:rsidR="00000000" w:rsidDel="00000000" w:rsidP="00000000" w:rsidRDefault="00000000" w:rsidRPr="00000000" w14:paraId="0000006D">
      <w:pPr>
        <w:keepNext/>
        <w:rPr/>
      </w:pPr>
      <w:r w:rsidDel="00000000" w:rsidR="00000000" w:rsidRPr="00000000">
        <w:rPr>
          <w:rFonts w:ascii="Arial" w:cs="Arial" w:eastAsia="Arial" w:hAnsi="Arial"/>
          <w:rtl w:val="0"/>
        </w:rPr>
        <w:t xml:space="preserve">[27:2</w:t>
      </w:r>
      <w:r w:rsidDel="00000000" w:rsidR="00000000" w:rsidRPr="00000000">
        <w:rPr>
          <w:rtl w:val="0"/>
        </w:rPr>
        <w:t xml:space="preserve">7</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6E">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6F">
      <w:pPr>
        <w:rPr/>
      </w:pPr>
      <w:r w:rsidDel="00000000" w:rsidR="00000000" w:rsidRPr="00000000">
        <w:rPr>
          <w:rFonts w:ascii="Arial" w:cs="Arial" w:eastAsia="Arial" w:hAnsi="Arial"/>
          <w:rtl w:val="0"/>
        </w:rPr>
        <w:t xml:space="preserve">Po lewej stronie widnieje różowy tytuł „inspiracje” i duży znak cudzysłowu. Czarnym tekstem zapisano cytat: „Każdy, kogo spotykasz, toczy walkę, o której nic nie wiesz. Bądź życzliwy. Zawsze.” Pod nim podpis „Brad Meltzer”. Po prawej znajduje się fotografia palm wyginanych przez silny wiatr na tle ciemnego, burzowego nieba z jasnym prześwitem. W prawym dolnym rogu fotografii znajduje się podpis „Photo by Ashok Munde on Unsplash”.</w:t>
      </w:r>
      <w:r w:rsidDel="00000000" w:rsidR="00000000" w:rsidRPr="00000000">
        <w:rPr>
          <w:rtl w:val="0"/>
        </w:rPr>
      </w:r>
    </w:p>
    <w:p w:rsidR="00000000" w:rsidDel="00000000" w:rsidP="00000000" w:rsidRDefault="00000000" w:rsidRPr="00000000" w14:paraId="00000072">
      <w:pPr>
        <w:pStyle w:val="Heading2"/>
        <w:rPr/>
      </w:pPr>
      <w:r w:rsidDel="00000000" w:rsidR="00000000" w:rsidRPr="00000000">
        <w:rPr>
          <w:rFonts w:ascii="Arial" w:cs="Arial" w:eastAsia="Arial" w:hAnsi="Arial"/>
          <w:rtl w:val="0"/>
        </w:rPr>
        <w:t xml:space="preserve">Slajd 13. #spotkanie</w:t>
      </w:r>
      <w:r w:rsidDel="00000000" w:rsidR="00000000" w:rsidRPr="00000000">
        <w:rPr>
          <w:rtl w:val="0"/>
        </w:rPr>
      </w:r>
    </w:p>
    <w:p w:rsidR="00000000" w:rsidDel="00000000" w:rsidP="00000000" w:rsidRDefault="00000000" w:rsidRPr="00000000" w14:paraId="00000073">
      <w:pPr>
        <w:keepNext/>
        <w:rPr/>
      </w:pPr>
      <w:r w:rsidDel="00000000" w:rsidR="00000000" w:rsidRPr="00000000">
        <w:rPr>
          <w:rFonts w:ascii="Arial" w:cs="Arial" w:eastAsia="Arial" w:hAnsi="Arial"/>
          <w:rtl w:val="0"/>
        </w:rPr>
        <w:t xml:space="preserve">[28:24] Zmiana slajdu</w:t>
      </w:r>
      <w:r w:rsidDel="00000000" w:rsidR="00000000" w:rsidRPr="00000000">
        <w:rPr>
          <w:rtl w:val="0"/>
        </w:rPr>
      </w:r>
    </w:p>
    <w:p w:rsidR="00000000" w:rsidDel="00000000" w:rsidP="00000000" w:rsidRDefault="00000000" w:rsidRPr="00000000" w14:paraId="00000074">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75">
      <w:pPr>
        <w:rPr/>
      </w:pPr>
      <w:r w:rsidDel="00000000" w:rsidR="00000000" w:rsidRPr="00000000">
        <w:rPr>
          <w:rFonts w:ascii="Arial" w:cs="Arial" w:eastAsia="Arial" w:hAnsi="Arial"/>
          <w:rtl w:val="0"/>
        </w:rPr>
        <w:t xml:space="preserve">Na jasnoniebieskim tle po lewej znajduje się różowy napis „#spotkanie” oraz zielony piktogram dwóch prostych kształtów przypominających ławki lub proporczyki ustawione jeden nad drugim. Po prawej czarnym tekstem zapisano: „Można się mijać, można się spotkać. Wybieramy to drugie. Można chcieć zrozumieć i chcieć być zrozumianym. Z tych dwóch wybieramy najpierw to pierwsze. Slot jest jak górskie schronisko, w którym spotykają się wędrowcy. Ich spotkanie jest ważne, niezależnie od drogi, która idą, ani celu, który obrali.”</w:t>
      </w:r>
      <w:r w:rsidDel="00000000" w:rsidR="00000000" w:rsidRPr="00000000">
        <w:rPr>
          <w:rtl w:val="0"/>
        </w:rPr>
      </w:r>
    </w:p>
    <w:p w:rsidR="00000000" w:rsidDel="00000000" w:rsidP="00000000" w:rsidRDefault="00000000" w:rsidRPr="00000000" w14:paraId="00000078">
      <w:pPr>
        <w:pStyle w:val="Heading2"/>
        <w:rPr/>
      </w:pPr>
      <w:r w:rsidDel="00000000" w:rsidR="00000000" w:rsidRPr="00000000">
        <w:rPr>
          <w:rFonts w:ascii="Arial" w:cs="Arial" w:eastAsia="Arial" w:hAnsi="Arial"/>
          <w:rtl w:val="0"/>
        </w:rPr>
        <w:t xml:space="preserve">Slajd 14. 7 nawyków skutecznego działania</w:t>
      </w:r>
      <w:r w:rsidDel="00000000" w:rsidR="00000000" w:rsidRPr="00000000">
        <w:rPr>
          <w:rtl w:val="0"/>
        </w:rPr>
      </w:r>
    </w:p>
    <w:p w:rsidR="00000000" w:rsidDel="00000000" w:rsidP="00000000" w:rsidRDefault="00000000" w:rsidRPr="00000000" w14:paraId="00000079">
      <w:pPr>
        <w:keepNext/>
        <w:rPr/>
      </w:pPr>
      <w:r w:rsidDel="00000000" w:rsidR="00000000" w:rsidRPr="00000000">
        <w:rPr>
          <w:rFonts w:ascii="Arial" w:cs="Arial" w:eastAsia="Arial" w:hAnsi="Arial"/>
          <w:rtl w:val="0"/>
        </w:rPr>
        <w:t xml:space="preserve">[29:1</w:t>
      </w:r>
      <w:r w:rsidDel="00000000" w:rsidR="00000000" w:rsidRPr="00000000">
        <w:rPr>
          <w:rtl w:val="0"/>
        </w:rPr>
        <w:t xml:space="preserve">7]</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7A">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7B">
      <w:pPr>
        <w:rPr/>
      </w:pPr>
      <w:r w:rsidDel="00000000" w:rsidR="00000000" w:rsidRPr="00000000">
        <w:rPr>
          <w:rFonts w:ascii="Arial" w:cs="Arial" w:eastAsia="Arial" w:hAnsi="Arial"/>
          <w:rtl w:val="0"/>
        </w:rPr>
        <w:t xml:space="preserve">Po lewej na jasnoniebieskim panelu znajduje się różowy tytuł „7 nawyków skutecznego działania” oraz mała fotografia okładki książki Stephena R. Coveya „7 nawyków skutecznego działania”. Po prawej umieszczono duży okrągły schemat. Schemat prowadzi od „ZALEŻNOŚCI” przez „NIEZALEŻNOŚĆ” do „WSPÓŁZALEŻNOŚCI”. W części „ZWYCIĘSTWO OSOBISTE” znajdują się nawyki: „Nawyk 1 BĄDŹ PROAKTYWNY”, „Nawyk 2 ZACZYNAJ Z WIZJĄ KOŃCA”, „Nawyk 3 RÓB NAJPIERW TO, CO NAJWAŻNIEJSZE”. W części „ZWYCIĘSTWO PUBLICZNE”: „Nawyk 4 MYŚL W KATEGORIACH WYGRANA-WYGRANA”, „Nawyk 5 STARAJ SIĘ NAJPIERW ZROZUMIEĆ, POTEM BYĆ ZROZUMIANY”, „Nawyk 6 TWÓRZ SYNERGIĘ”. Zewnętrzny pierścień opisano: „Nawyk 7 OSTRZ PIŁĘ”.</w:t>
      </w:r>
      <w:r w:rsidDel="00000000" w:rsidR="00000000" w:rsidRPr="00000000">
        <w:rPr>
          <w:rtl w:val="0"/>
        </w:rPr>
      </w:r>
    </w:p>
    <w:p w:rsidR="00000000" w:rsidDel="00000000" w:rsidP="00000000" w:rsidRDefault="00000000" w:rsidRPr="00000000" w14:paraId="00000084">
      <w:pPr>
        <w:pStyle w:val="Heading2"/>
        <w:rPr/>
      </w:pPr>
      <w:r w:rsidDel="00000000" w:rsidR="00000000" w:rsidRPr="00000000">
        <w:rPr>
          <w:rFonts w:ascii="Arial" w:cs="Arial" w:eastAsia="Arial" w:hAnsi="Arial"/>
          <w:rtl w:val="0"/>
        </w:rPr>
        <w:t xml:space="preserve">Slajd 15. Kontrakt</w:t>
      </w:r>
      <w:r w:rsidDel="00000000" w:rsidR="00000000" w:rsidRPr="00000000">
        <w:rPr>
          <w:rtl w:val="0"/>
        </w:rPr>
      </w:r>
    </w:p>
    <w:p w:rsidR="00000000" w:rsidDel="00000000" w:rsidP="00000000" w:rsidRDefault="00000000" w:rsidRPr="00000000" w14:paraId="00000085">
      <w:pPr>
        <w:keepNext/>
        <w:rPr/>
      </w:pPr>
      <w:r w:rsidDel="00000000" w:rsidR="00000000" w:rsidRPr="00000000">
        <w:rPr>
          <w:rFonts w:ascii="Arial" w:cs="Arial" w:eastAsia="Arial" w:hAnsi="Arial"/>
          <w:rtl w:val="0"/>
        </w:rPr>
        <w:t xml:space="preserve">[36:</w:t>
      </w:r>
      <w:r w:rsidDel="00000000" w:rsidR="00000000" w:rsidRPr="00000000">
        <w:rPr>
          <w:rtl w:val="0"/>
        </w:rPr>
        <w:t xml:space="preserve">26</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86">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87">
      <w:pPr>
        <w:rPr/>
      </w:pPr>
      <w:r w:rsidDel="00000000" w:rsidR="00000000" w:rsidRPr="00000000">
        <w:rPr>
          <w:rFonts w:ascii="Arial" w:cs="Arial" w:eastAsia="Arial" w:hAnsi="Arial"/>
          <w:rtl w:val="0"/>
        </w:rPr>
        <w:t xml:space="preserve">W tle znajduje się fotografia czterech dłoni należących do różnych osób, ułożonych obok siebie na drewnianym stole. W lewym górnym obszarze na jasnoniebieskim prostokącie widnieje różowy tytuł „kontrakt”. Poniżej czarnym tekstem zapisano pytanie: „Czego potrzebujesz od siebie i innych, żeby:” oraz dwa punkty: „czuć się tu bezpiecznie i swobodnie” i „być tu na swoje 100 %, żeby działać i współdziałać efektywnie”.</w:t>
      </w:r>
      <w:r w:rsidDel="00000000" w:rsidR="00000000" w:rsidRPr="00000000">
        <w:rPr>
          <w:rtl w:val="0"/>
        </w:rPr>
      </w:r>
    </w:p>
    <w:p w:rsidR="00000000" w:rsidDel="00000000" w:rsidP="00000000" w:rsidRDefault="00000000" w:rsidRPr="00000000" w14:paraId="0000008B">
      <w:pPr>
        <w:pStyle w:val="Heading2"/>
        <w:rPr/>
      </w:pPr>
      <w:r w:rsidDel="00000000" w:rsidR="00000000" w:rsidRPr="00000000">
        <w:rPr>
          <w:rFonts w:ascii="Arial" w:cs="Arial" w:eastAsia="Arial" w:hAnsi="Arial"/>
          <w:rtl w:val="0"/>
        </w:rPr>
        <w:t xml:space="preserve">Slajd 16. Zasady kontraktu</w:t>
      </w:r>
      <w:r w:rsidDel="00000000" w:rsidR="00000000" w:rsidRPr="00000000">
        <w:rPr>
          <w:rtl w:val="0"/>
        </w:rPr>
      </w:r>
    </w:p>
    <w:p w:rsidR="00000000" w:rsidDel="00000000" w:rsidP="00000000" w:rsidRDefault="00000000" w:rsidRPr="00000000" w14:paraId="0000008C">
      <w:pPr>
        <w:keepNext/>
        <w:rPr/>
      </w:pPr>
      <w:r w:rsidDel="00000000" w:rsidR="00000000" w:rsidRPr="00000000">
        <w:rPr>
          <w:rFonts w:ascii="Arial" w:cs="Arial" w:eastAsia="Arial" w:hAnsi="Arial"/>
          <w:rtl w:val="0"/>
        </w:rPr>
        <w:t xml:space="preserve">[37:40] Zmiana slajdu</w:t>
      </w:r>
      <w:r w:rsidDel="00000000" w:rsidR="00000000" w:rsidRPr="00000000">
        <w:rPr>
          <w:rtl w:val="0"/>
        </w:rPr>
      </w:r>
    </w:p>
    <w:p w:rsidR="00000000" w:rsidDel="00000000" w:rsidP="00000000" w:rsidRDefault="00000000" w:rsidRPr="00000000" w14:paraId="0000008D">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8E">
      <w:pPr>
        <w:rPr/>
      </w:pPr>
      <w:r w:rsidDel="00000000" w:rsidR="00000000" w:rsidRPr="00000000">
        <w:rPr>
          <w:rFonts w:ascii="Arial" w:cs="Arial" w:eastAsia="Arial" w:hAnsi="Arial"/>
          <w:rtl w:val="0"/>
        </w:rPr>
        <w:t xml:space="preserve">Tło stanowi ta sama fotografia czterech dłoni na drewnianym stole. Przez dolną część slajdu biegnie jasnoniebieski poziomy pas. Na nim różowym tekstem zapisano pięć zasad rozdzielonych pionowymi kreskami: „otwartość | dobrowolność | szacunek | na 100% | poufność”.</w:t>
      </w:r>
      <w:r w:rsidDel="00000000" w:rsidR="00000000" w:rsidRPr="00000000">
        <w:rPr>
          <w:rtl w:val="0"/>
        </w:rPr>
      </w:r>
    </w:p>
    <w:p w:rsidR="00000000" w:rsidDel="00000000" w:rsidP="00000000" w:rsidRDefault="00000000" w:rsidRPr="00000000" w14:paraId="00000091">
      <w:pPr>
        <w:pStyle w:val="Heading2"/>
        <w:rPr/>
      </w:pPr>
      <w:r w:rsidDel="00000000" w:rsidR="00000000" w:rsidRPr="00000000">
        <w:rPr>
          <w:rFonts w:ascii="Arial" w:cs="Arial" w:eastAsia="Arial" w:hAnsi="Arial"/>
          <w:rtl w:val="0"/>
        </w:rPr>
        <w:t xml:space="preserve">Slajd 17. Kontrakt - rola i cechy</w:t>
      </w:r>
      <w:r w:rsidDel="00000000" w:rsidR="00000000" w:rsidRPr="00000000">
        <w:rPr>
          <w:rtl w:val="0"/>
        </w:rPr>
      </w:r>
    </w:p>
    <w:p w:rsidR="00000000" w:rsidDel="00000000" w:rsidP="00000000" w:rsidRDefault="00000000" w:rsidRPr="00000000" w14:paraId="00000092">
      <w:pPr>
        <w:keepNext/>
        <w:rPr/>
      </w:pPr>
      <w:r w:rsidDel="00000000" w:rsidR="00000000" w:rsidRPr="00000000">
        <w:rPr>
          <w:rFonts w:ascii="Arial" w:cs="Arial" w:eastAsia="Arial" w:hAnsi="Arial"/>
          <w:rtl w:val="0"/>
        </w:rPr>
        <w:t xml:space="preserve">[38:</w:t>
      </w:r>
      <w:r w:rsidDel="00000000" w:rsidR="00000000" w:rsidRPr="00000000">
        <w:rPr>
          <w:rtl w:val="0"/>
        </w:rPr>
        <w:t xml:space="preserve">09</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93">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94">
      <w:pPr>
        <w:rPr/>
      </w:pPr>
      <w:r w:rsidDel="00000000" w:rsidR="00000000" w:rsidRPr="00000000">
        <w:rPr>
          <w:rFonts w:ascii="Arial" w:cs="Arial" w:eastAsia="Arial" w:hAnsi="Arial"/>
          <w:rtl w:val="0"/>
        </w:rPr>
        <w:t xml:space="preserve">Tło stanowi fotografia dłoni na drewnianym stole. Po lewej znajduje się jasnoniebieski prostokąt z różowym tytułem „kontrakt”. Poniżej czarnym tekstem: „rola kontraktu”, a następnie punkty: „wzmacnia efektywność”, „daje ochronę”, „daje jasność”. Niżej pytanie „jaki powinien być kontrakt?” i lista: „jednoznaczny”, „akceptowalny dla wszystkich”, „jawny”, „otwarty”.</w:t>
      </w:r>
      <w:r w:rsidDel="00000000" w:rsidR="00000000" w:rsidRPr="00000000">
        <w:rPr>
          <w:rtl w:val="0"/>
        </w:rPr>
      </w:r>
    </w:p>
    <w:p w:rsidR="00000000" w:rsidDel="00000000" w:rsidP="00000000" w:rsidRDefault="00000000" w:rsidRPr="00000000" w14:paraId="0000009E">
      <w:pPr>
        <w:pStyle w:val="Heading2"/>
        <w:rPr/>
      </w:pPr>
      <w:r w:rsidDel="00000000" w:rsidR="00000000" w:rsidRPr="00000000">
        <w:rPr>
          <w:rFonts w:ascii="Arial" w:cs="Arial" w:eastAsia="Arial" w:hAnsi="Arial"/>
          <w:rtl w:val="0"/>
        </w:rPr>
        <w:t xml:space="preserve">Slajd 19. Pytania kontraktowe</w:t>
      </w:r>
      <w:r w:rsidDel="00000000" w:rsidR="00000000" w:rsidRPr="00000000">
        <w:rPr>
          <w:rtl w:val="0"/>
        </w:rPr>
      </w:r>
    </w:p>
    <w:p w:rsidR="00000000" w:rsidDel="00000000" w:rsidP="00000000" w:rsidRDefault="00000000" w:rsidRPr="00000000" w14:paraId="0000009F">
      <w:pPr>
        <w:keepNext/>
        <w:rPr/>
      </w:pPr>
      <w:r w:rsidDel="00000000" w:rsidR="00000000" w:rsidRPr="00000000">
        <w:rPr>
          <w:rFonts w:ascii="Arial" w:cs="Arial" w:eastAsia="Arial" w:hAnsi="Arial"/>
          <w:rtl w:val="0"/>
        </w:rPr>
        <w:t xml:space="preserve">[45:</w:t>
      </w:r>
      <w:r w:rsidDel="00000000" w:rsidR="00000000" w:rsidRPr="00000000">
        <w:rPr>
          <w:rtl w:val="0"/>
        </w:rPr>
        <w:t xml:space="preserve">26</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A0">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A1">
      <w:pPr>
        <w:rPr/>
      </w:pPr>
      <w:r w:rsidDel="00000000" w:rsidR="00000000" w:rsidRPr="00000000">
        <w:rPr>
          <w:rFonts w:ascii="Arial" w:cs="Arial" w:eastAsia="Arial" w:hAnsi="Arial"/>
          <w:rtl w:val="0"/>
        </w:rPr>
        <w:t xml:space="preserve">Po lewej znajduje się jasnoniebieski panel z różowym tytułem „pytania kontraktowe” i białym piktogramem dwóch osób oraz znaku zapytania. Po prawej umieszczono trójpoziomową piramidę. Górny, różowy poziom opisano „poziom strategiczny”. Obok znajduje się lista: „Cel (co?)”, „Sens (dlaczego?)”, „Użytkownicy (dla kogo?)”, „Kryteria sukcesu”, „Role”, „Czas realizacji” oraz pytania: „Co chcecie osiągnąć, co ma być rezultatem?”, „Dlaczego to robimy?”, „Dla kogo to robimy?”, „Po czym poznamy, że to zrobiliśmy?”, „Jakie są nasze role w projekcie?”, „Jak ten cel ma się do Waszej regularnej działalności?”. Środkowy, żółtozielony poziom opisano „poziom operacyjny”. Obok: „Program”, „Harmonogram”, „Budżet / zasoby”, „Podział zadań i odpowiedzialności”, „Komunikacja wewnętrzna” oraz pytania o ustalanie programu, podejmowanie decyzji, harmonogram, podział zadań i komunikację. Dolny, turkusowy poziom opisano „poziom psychologiczny”. Obok: „Potrzeby”, „Nadzieje”, „Nastawienia”, „Wątpliwości”, „Obawy”, „Wyobrażenia”, „Ukryte intencje” oraz pytania o samopoczucie we współpracy, szczerość i otwartość, wzajemny odbiór, różnice, niewyrażone obawy i nadzieje poza oficjalnym celem współpracy.</w:t>
      </w:r>
      <w:r w:rsidDel="00000000" w:rsidR="00000000" w:rsidRPr="00000000">
        <w:rPr>
          <w:rtl w:val="0"/>
        </w:rPr>
      </w:r>
    </w:p>
    <w:sectPr>
      <w:pgSz w:h="15840" w:w="12240"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40" w:before="360" w:line="276" w:lineRule="auto"/>
      <w:outlineLvl w:val="0"/>
    </w:pPr>
    <w:rPr>
      <w:rFonts w:ascii="Arial" w:cs="Arial" w:eastAsia="Arial" w:hAnsi="Arial"/>
      <w:b w:val="1"/>
      <w:bCs w:val="1"/>
      <w:color w:val="243f50"/>
      <w:sz w:val="28"/>
      <w:szCs w:val="28"/>
    </w:rPr>
  </w:style>
  <w:style w:type="paragraph" w:styleId="Heading2">
    <w:name w:val="heading 2"/>
    <w:basedOn w:val="Normal"/>
    <w:next w:val="Normal"/>
    <w:pPr>
      <w:keepNext w:val="1"/>
      <w:keepLines w:val="1"/>
      <w:spacing w:after="140" w:before="280" w:line="276" w:lineRule="auto"/>
      <w:outlineLvl w:val="1"/>
    </w:pPr>
    <w:rPr>
      <w:rFonts w:ascii="Arial" w:cs="Arial" w:eastAsia="Arial" w:hAnsi="Arial"/>
      <w:b w:val="1"/>
      <w:bCs w:val="1"/>
      <w:color w:val="243f50"/>
      <w:sz w:val="26"/>
      <w:szCs w:val="26"/>
    </w:rPr>
  </w:style>
  <w:style w:type="paragraph" w:styleId="Heading3">
    <w:name w:val="heading 3"/>
    <w:basedOn w:val="Normal"/>
    <w:next w:val="Normal"/>
    <w:pPr>
      <w:keepNext w:val="1"/>
      <w:keepLines w:val="1"/>
      <w:spacing w:after="100" w:before="200" w:line="276" w:lineRule="auto"/>
      <w:outlineLvl w:val="2"/>
    </w:pPr>
    <w:rPr>
      <w:rFonts w:ascii="Arial" w:cs="Arial" w:eastAsia="Arial" w:hAnsi="Arial"/>
      <w:b w:val="1"/>
      <w:bCs w:val="1"/>
      <w:color w:val="243f50"/>
      <w:sz w:val="24"/>
      <w:szCs w:val="24"/>
    </w:rPr>
  </w:style>
  <w:style w:type="paragraph" w:styleId="Heading4">
    <w:name w:val="heading 4"/>
    <w:basedOn w:val="Normal"/>
    <w:next w:val="Normal"/>
    <w:pPr>
      <w:keepNext w:val="1"/>
      <w:keepLines w:val="1"/>
      <w:spacing w:after="0" w:before="200" w:lineRule="auto"/>
    </w:pPr>
    <w:rPr>
      <w:b w:val="1"/>
      <w:bCs w:val="1"/>
      <w:i w:val="1"/>
      <w:iCs w:val="1"/>
      <w:color w:val="4f81bd"/>
    </w:rPr>
  </w:style>
  <w:style w:type="paragraph" w:styleId="Heading5">
    <w:name w:val="heading 5"/>
    <w:basedOn w:val="Normal"/>
    <w:next w:val="Normal"/>
    <w:pPr>
      <w:keepNext w:val="1"/>
      <w:keepLines w:val="1"/>
      <w:spacing w:after="0" w:before="200" w:lineRule="auto"/>
    </w:pPr>
    <w:rPr>
      <w:color w:val="243f61"/>
    </w:rPr>
  </w:style>
  <w:style w:type="paragraph" w:styleId="Heading6">
    <w:name w:val="heading 6"/>
    <w:basedOn w:val="Normal"/>
    <w:next w:val="Normal"/>
    <w:pPr>
      <w:keepNext w:val="1"/>
      <w:keepLines w:val="1"/>
      <w:spacing w:after="0" w:before="200" w:lineRule="auto"/>
    </w:pPr>
    <w:rPr>
      <w:i w:val="1"/>
      <w:iCs w:val="1"/>
      <w:color w:val="243f61"/>
    </w:rPr>
  </w:style>
  <w:style w:type="paragraph" w:styleId="Title">
    <w:name w:val="Title"/>
    <w:basedOn w:val="Normal"/>
    <w:next w:val="Normal"/>
    <w:pPr>
      <w:pBdr>
        <w:bottom w:color="4f81bd" w:space="4" w:sz="8" w:val="single"/>
      </w:pBdr>
      <w:spacing w:after="300" w:before="0" w:line="276" w:lineRule="auto"/>
    </w:pPr>
    <w:rPr>
      <w:rFonts w:ascii="Arial" w:cs="Arial" w:eastAsia="Arial" w:hAnsi="Arial"/>
      <w:b w:val="0"/>
      <w:bCs w:val="0"/>
      <w:color w:val="243f50"/>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b w:val="1"/>
      <w:bCs w:val="1"/>
      <w:color w:val="4f81bd" w:themeColor="accent1"/>
    </w:rPr>
  </w:style>
  <w:style w:type="character" w:styleId="TitleChar" w:customStyle="1">
    <w:name w:val="Title Char"/>
    <w:basedOn w:val="DefaultParagraphFont"/>
    <w:link w:val="Title"/>
    <w:uiPriority w:val="10"/>
    <w:rsid w:val="00FC693F"/>
    <w:rPr>
      <w:rFonts/>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color w:val="243f60" w:themeColor="accent1" w:themeShade="00007F"/>
    </w:rPr>
  </w:style>
  <w:style w:type="character" w:styleId="Heading6Char" w:customStyle="1">
    <w:name w:val="Heading 6 Char"/>
    <w:basedOn w:val="DefaultParagraphFont"/>
    <w:link w:val="Heading6"/>
    <w:uiPriority w:val="9"/>
    <w:semiHidden w:val="1"/>
    <w:rsid w:val="00FC693F"/>
    <w:rPr>
      <w:rFonts/>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color w:val="4f81bd" w:themeColor="accent1"/>
      <w:sz w:val="20"/>
      <w:szCs w:val="20"/>
    </w:rPr>
  </w:style>
  <w:style w:type="character" w:styleId="Heading9Char" w:customStyle="1">
    <w:name w:val="Heading 9 Char"/>
    <w:basedOn w:val="DefaultParagraphFont"/>
    <w:link w:val="Heading9"/>
    <w:uiPriority w:val="9"/>
    <w:semiHidden w:val="1"/>
    <w:rsid w:val="00FC693F"/>
    <w:rPr>
      <w:rFonts/>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b w:val="1"/>
        <w:bCs w:val="1"/>
      </w:rPr>
    </w:tblStylePr>
    <w:tblStylePr w:type="lastCol">
      <w:rPr>
        <w:rFonts/>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b w:val="1"/>
        <w:bCs w:val="1"/>
      </w:rPr>
    </w:tblStylePr>
    <w:tblStylePr w:type="lastCol">
      <w:rPr>
        <w:rFonts/>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b w:val="1"/>
        <w:bCs w:val="1"/>
      </w:rPr>
    </w:tblStylePr>
    <w:tblStylePr w:type="lastCol">
      <w:rPr>
        <w:rFonts/>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b w:val="1"/>
        <w:bCs w:val="1"/>
      </w:rPr>
    </w:tblStylePr>
    <w:tblStylePr w:type="lastCol">
      <w:rPr>
        <w:rFonts/>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b w:val="1"/>
        <w:bCs w:val="1"/>
      </w:rPr>
    </w:tblStylePr>
    <w:tblStylePr w:type="lastCol">
      <w:rPr>
        <w:rFonts/>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b w:val="1"/>
        <w:bCs w:val="1"/>
      </w:rPr>
    </w:tblStylePr>
    <w:tblStylePr w:type="lastCol">
      <w:rPr>
        <w:rFonts/>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b w:val="1"/>
        <w:bCs w:val="1"/>
      </w:rPr>
    </w:tblStylePr>
    <w:tblStylePr w:type="lastCol">
      <w:rPr>
        <w:rFonts/>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spacing w:after="240" w:before="0" w:line="276" w:lineRule="auto"/>
    </w:pPr>
    <w:rPr>
      <w:rFonts w:ascii="Arial" w:cs="Arial" w:eastAsia="Arial" w:hAnsi="Arial"/>
      <w:b w:val="0"/>
      <w:bCs w:val="0"/>
      <w:i w:val="1"/>
      <w:iCs w:val="1"/>
      <w:color w:val="243f50"/>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BgEyE4bS/VL6S1k1UiJZE3NeMw==">CgMxLjA4AHIhMUxkRUUtOTB2TzU0UVdsUWRNMGRHZTdFcVEwTVk5TGlq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title>Budowanie przestrzeni dla zespołu: dokładne opisy wizualne slajdów</dc:title>
</cp:coreProperties>
</file>